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绍兴市人力资源和社会保障事业发展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2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“十四五”规划编制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评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分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82" w:tblpY="513"/>
        <w:tblOverlap w:val="never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75"/>
        <w:gridCol w:w="726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分配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分数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评审内容及分值范围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能力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1.项目负责人或团队成员最近1年相关研究成果在省级刊物发表，每篇得2分，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8分（同一内容不重复计分）。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2.项目负责人或团队成员最近1年相关研究成果获省、市领导批示，每项得3分，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9分（同一内容不重复计分）。</w:t>
            </w:r>
          </w:p>
          <w:p>
            <w:p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3.项目负责人或团队成员近5年研究成果获国家部委、省级部门荣誉奖励的，每项得5分，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15分（同一内容不重复计分）。</w:t>
            </w:r>
          </w:p>
          <w:p>
            <w:p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注：</w:t>
            </w:r>
            <w:r>
              <w:rPr>
                <w:rFonts w:hint="eastAsia" w:ascii="宋体" w:hAnsi="宋体"/>
                <w:sz w:val="18"/>
                <w:szCs w:val="18"/>
              </w:rPr>
              <w:t>需提供相关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证明材料</w:t>
            </w:r>
            <w:r>
              <w:rPr>
                <w:rFonts w:hint="eastAsia" w:ascii="宋体" w:hAnsi="宋体"/>
                <w:sz w:val="18"/>
                <w:szCs w:val="18"/>
              </w:rPr>
              <w:t>复印件并加盖公章，未按要求提供的不得分。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业绩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项目负责人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宋体" w:hAnsi="宋体"/>
                <w:sz w:val="18"/>
                <w:szCs w:val="18"/>
              </w:rPr>
              <w:t>主持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承担过</w:t>
            </w:r>
            <w:r>
              <w:rPr>
                <w:rFonts w:hint="eastAsia" w:ascii="宋体" w:hAnsi="宋体"/>
                <w:sz w:val="18"/>
                <w:szCs w:val="18"/>
              </w:rPr>
              <w:t>省级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</w:rPr>
              <w:t>十四五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”规划</w:t>
            </w:r>
            <w:r>
              <w:rPr>
                <w:rFonts w:hint="eastAsia" w:ascii="宋体" w:hAnsi="宋体"/>
                <w:sz w:val="18"/>
                <w:szCs w:val="18"/>
              </w:rPr>
              <w:t>相关课题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研究的</w:t>
            </w:r>
            <w:r>
              <w:rPr>
                <w:rFonts w:hint="eastAsia" w:ascii="宋体" w:hAnsi="宋体"/>
                <w:sz w:val="18"/>
                <w:szCs w:val="18"/>
              </w:rPr>
              <w:t>，每项得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分，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266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编制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宋体" w:hAnsi="宋体"/>
                <w:sz w:val="18"/>
                <w:szCs w:val="18"/>
              </w:rPr>
              <w:t>有绍兴市规划和课题研究业绩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/>
                <w:sz w:val="18"/>
                <w:szCs w:val="18"/>
              </w:rPr>
              <w:t>，每项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.项目负责人或团队成员近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年开展过人力资源和社会保障事业专项课题研究的，附研究报告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每篇次得5分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，最高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注：需提供相关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证明材料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复印件并加盖公章，未按要求提供的不得分。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编制单位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sz w:val="18"/>
                <w:szCs w:val="18"/>
              </w:rPr>
              <w:t>项目负责人近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年作为政府、部门顾问以及承接相关工作获得好评的（结果为“好评”或“优秀”或相同含义的评价），每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项</w:t>
            </w:r>
            <w:r>
              <w:rPr>
                <w:rFonts w:hint="eastAsia" w:ascii="宋体" w:hAnsi="宋体"/>
                <w:sz w:val="18"/>
                <w:szCs w:val="18"/>
              </w:rPr>
              <w:t>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最高得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注：需提供相关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证明材料</w:t>
            </w:r>
            <w:r>
              <w:rPr>
                <w:rFonts w:hint="eastAsia" w:ascii="宋体" w:hAnsi="宋体"/>
                <w:sz w:val="18"/>
                <w:szCs w:val="18"/>
              </w:rPr>
              <w:t>复印件并加盖公章，未按要求提供的不得分。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内容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1.主体框架明晰，包括总体要求、基本原则、主要目标、重点任务和保障措施等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。编制思路和工作安排周密，符合项目要求。</w:t>
            </w:r>
          </w:p>
          <w:p>
            <w:pPr>
              <w:pStyle w:val="4"/>
              <w:numPr>
                <w:ilvl w:val="0"/>
                <w:numId w:val="0"/>
              </w:numPr>
              <w:spacing w:line="276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紧密结合我市人才人事、就业创业、社会保险、劳动关系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等主要工作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注：优为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分，良为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  <w:szCs w:val="18"/>
              </w:rPr>
              <w:t>分，中为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  <w:szCs w:val="18"/>
              </w:rPr>
              <w:t>分，差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11分以下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价格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评标基准价：即满足公告要求且最低的编制单位报价为评标基准价，其价格分为满分。其他申报单位的价格分统一按照下列公式计算，即：报价得分=(评标基准价／报价)×10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AA71"/>
    <w:multiLevelType w:val="singleLevel"/>
    <w:tmpl w:val="5EDDAA7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张涌</cp:lastModifiedBy>
  <dcterms:modified xsi:type="dcterms:W3CDTF">2020-06-10T06:58:05Z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