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202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>3</w:t>
      </w:r>
      <w:r>
        <w:rPr>
          <w:rFonts w:hint="eastAsia" w:asciiTheme="minorEastAsia" w:hAnsiTheme="minorEastAsia"/>
          <w:b/>
          <w:sz w:val="48"/>
          <w:szCs w:val="48"/>
        </w:rPr>
        <w:t>年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绍兴</w:t>
      </w:r>
      <w:r>
        <w:rPr>
          <w:rFonts w:hint="eastAsia" w:asciiTheme="minorEastAsia" w:hAnsiTheme="minorEastAsia"/>
          <w:b/>
          <w:sz w:val="48"/>
          <w:szCs w:val="48"/>
        </w:rPr>
        <w:t>市人力资源市场工资价位及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>2022年</w:t>
      </w:r>
      <w:bookmarkStart w:id="126" w:name="_GoBack"/>
      <w:bookmarkEnd w:id="126"/>
      <w:r>
        <w:rPr>
          <w:rFonts w:hint="eastAsia" w:asciiTheme="minorEastAsia" w:hAnsiTheme="minorEastAsia"/>
          <w:b/>
          <w:sz w:val="48"/>
          <w:szCs w:val="48"/>
        </w:rPr>
        <w:t>人工成本信息</w:t>
      </w:r>
    </w:p>
    <w:p>
      <w:pPr>
        <w:ind w:firstLine="640"/>
        <w:rPr>
          <w:rFonts w:asciiTheme="minorEastAsia" w:hAnsiTheme="minorEastAsia"/>
          <w:sz w:val="52"/>
          <w:szCs w:val="52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绍兴</w:t>
      </w:r>
      <w:r>
        <w:rPr>
          <w:rFonts w:hint="eastAsia"/>
          <w:b/>
          <w:sz w:val="32"/>
          <w:szCs w:val="32"/>
        </w:rPr>
        <w:t>市人力资源和社会保障局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中智管理咨询有限公司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="宋体"/>
          <w:b/>
          <w:bCs/>
          <w:sz w:val="28"/>
          <w:szCs w:val="28"/>
          <w:lang w:val="en-US" w:eastAsia="zh-CN" w:bidi="ar-SA"/>
        </w:rPr>
        <w:id w:val="147460960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cs="宋体" w:eastAsiaTheme="minorEastAsia"/>
          <w:b/>
          <w:bCs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28"/>
              <w:szCs w:val="28"/>
            </w:rPr>
          </w:pPr>
          <w:r>
            <w:rPr>
              <w:rFonts w:ascii="宋体" w:hAnsi="宋体" w:eastAsia="宋体"/>
              <w:b/>
              <w:bCs/>
              <w:sz w:val="28"/>
              <w:szCs w:val="28"/>
            </w:rPr>
            <w:t>目</w:t>
          </w:r>
          <w:r>
            <w:rPr>
              <w:rFonts w:hint="eastAsia" w:eastAsia="宋体"/>
              <w:b/>
              <w:bCs/>
              <w:sz w:val="28"/>
              <w:szCs w:val="28"/>
              <w:lang w:val="en-US" w:eastAsia="zh-CN"/>
            </w:rPr>
            <w:t xml:space="preserve">  </w:t>
          </w:r>
          <w:r>
            <w:rPr>
              <w:rFonts w:ascii="宋体" w:hAnsi="宋体" w:eastAsia="宋体"/>
              <w:b/>
              <w:bCs/>
              <w:sz w:val="28"/>
              <w:szCs w:val="28"/>
            </w:rPr>
            <w:t>录</w:t>
          </w:r>
        </w:p>
        <w:p>
          <w:pPr>
            <w:pStyle w:val="12"/>
            <w:tabs>
              <w:tab w:val="right" w:leader="dot" w:pos="8306"/>
              <w:tab w:val="clear" w:pos="8296"/>
            </w:tabs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TOC \o "1-3" \h \u </w:instrText>
          </w:r>
          <w:r>
            <w:rPr>
              <w:b/>
            </w:rPr>
            <w:fldChar w:fldCharType="separate"/>
          </w:r>
          <w:r>
            <w:fldChar w:fldCharType="begin"/>
          </w:r>
          <w:r>
            <w:instrText xml:space="preserve"> HYPERLINK \l _Toc12061 </w:instrText>
          </w:r>
          <w:r>
            <w:fldChar w:fldCharType="separate"/>
          </w:r>
          <w:r>
            <w:rPr>
              <w:rFonts w:hint="eastAsia" w:ascii="方正小标宋_GBK" w:eastAsia="方正小标宋_GBK" w:hAnsiTheme="minorHAnsi" w:cstheme="minorBidi"/>
              <w:bCs/>
              <w:szCs w:val="36"/>
            </w:rPr>
            <w:t xml:space="preserve">第一部分 </w:t>
          </w:r>
          <w:r>
            <w:rPr>
              <w:rFonts w:hint="eastAsia" w:ascii="方正小标宋_GBK" w:eastAsia="方正小标宋_GBK" w:hAnsiTheme="minorHAnsi" w:cstheme="minorBidi"/>
              <w:bCs/>
              <w:szCs w:val="36"/>
              <w:lang w:eastAsia="zh-CN"/>
            </w:rPr>
            <w:t>绍兴</w:t>
          </w:r>
          <w:r>
            <w:rPr>
              <w:rFonts w:hint="eastAsia" w:ascii="方正小标宋_GBK" w:eastAsia="方正小标宋_GBK" w:hAnsiTheme="minorHAnsi" w:cstheme="minorBidi"/>
              <w:bCs/>
              <w:szCs w:val="36"/>
            </w:rPr>
            <w:t>市人力资源市场从业人员工资价位信息</w:t>
          </w:r>
          <w:r>
            <w:tab/>
          </w:r>
          <w:r>
            <w:fldChar w:fldCharType="begin"/>
          </w:r>
          <w:r>
            <w:instrText xml:space="preserve"> PAGEREF _Toc12061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_Toc7066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一、分职业</w:t>
          </w:r>
          <w:r>
            <w:rPr>
              <w:rFonts w:hint="eastAsia" w:ascii="黑体" w:hAnsi="黑体"/>
              <w:lang w:val="en-US" w:eastAsia="zh-CN"/>
            </w:rPr>
            <w:t>细类</w:t>
          </w:r>
          <w:r>
            <w:rPr>
              <w:rFonts w:hint="eastAsia" w:ascii="黑体" w:hAnsi="黑体" w:eastAsia="黑体"/>
            </w:rPr>
            <w:t>企业从业人员工资价位</w:t>
          </w:r>
          <w:r>
            <w:tab/>
          </w:r>
          <w:r>
            <w:fldChar w:fldCharType="begin"/>
          </w:r>
          <w:r>
            <w:instrText xml:space="preserve"> PAGEREF _Toc7066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_Toc21778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二、部分技术工人职业（工种）分技能等级工资价位</w:t>
          </w:r>
          <w:r>
            <w:tab/>
          </w:r>
          <w:r>
            <w:fldChar w:fldCharType="begin"/>
          </w:r>
          <w:r>
            <w:instrText xml:space="preserve"> PAGEREF _Toc21778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_Toc18250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三、分行业</w:t>
          </w:r>
          <w:r>
            <w:rPr>
              <w:rFonts w:hint="eastAsia" w:ascii="黑体" w:hAnsi="黑体"/>
              <w:lang w:val="en-US" w:eastAsia="zh-CN"/>
            </w:rPr>
            <w:t>类别</w:t>
          </w:r>
          <w:r>
            <w:rPr>
              <w:rFonts w:hint="eastAsia" w:ascii="黑体" w:hAnsi="黑体" w:eastAsia="黑体"/>
            </w:rPr>
            <w:t>分职业细类企业从业人员工资价位</w:t>
          </w:r>
          <w:r>
            <w:tab/>
          </w:r>
          <w:r>
            <w:fldChar w:fldCharType="begin"/>
          </w:r>
          <w:r>
            <w:instrText xml:space="preserve"> PAGEREF _Toc18250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_Toc628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（一）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制造业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工资价位</w:t>
          </w:r>
          <w:r>
            <w:tab/>
          </w:r>
          <w:r>
            <w:fldChar w:fldCharType="begin"/>
          </w:r>
          <w:r>
            <w:instrText xml:space="preserve"> PAGEREF _Toc628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_Toc4725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（二）电力、热力、燃气及水生产和供应业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工资价位</w:t>
          </w:r>
          <w:r>
            <w:tab/>
          </w:r>
          <w:r>
            <w:fldChar w:fldCharType="begin"/>
          </w:r>
          <w:r>
            <w:instrText xml:space="preserve"> PAGEREF _Toc4725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_Toc31018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建筑业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工资价位</w:t>
          </w:r>
          <w:r>
            <w:tab/>
          </w:r>
          <w:r>
            <w:fldChar w:fldCharType="begin"/>
          </w:r>
          <w:r>
            <w:instrText xml:space="preserve"> PAGEREF _Toc31018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_Toc12112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四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批发和零售业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工资价位</w:t>
          </w:r>
          <w:r>
            <w:tab/>
          </w:r>
          <w:r>
            <w:fldChar w:fldCharType="begin"/>
          </w:r>
          <w:r>
            <w:instrText xml:space="preserve"> PAGEREF _Toc12112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_Toc701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（五）交通运输、仓储和邮政业工资价位</w:t>
          </w:r>
          <w:r>
            <w:tab/>
          </w:r>
          <w:r>
            <w:fldChar w:fldCharType="begin"/>
          </w:r>
          <w:r>
            <w:instrText xml:space="preserve"> PAGEREF _Toc701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_Toc18630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（六）住宿和餐饮业工资价位</w:t>
          </w:r>
          <w:r>
            <w:tab/>
          </w:r>
          <w:r>
            <w:fldChar w:fldCharType="begin"/>
          </w:r>
          <w:r>
            <w:instrText xml:space="preserve"> PAGEREF _Toc18630 \h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_Toc4074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（七）信息传输、软件和信息技术服务业工资价位</w:t>
          </w:r>
          <w:r>
            <w:tab/>
          </w:r>
          <w:r>
            <w:fldChar w:fldCharType="begin"/>
          </w:r>
          <w:r>
            <w:instrText xml:space="preserve"> PAGEREF _Toc4074 \h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_Toc8246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八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金融业工资价位</w:t>
          </w:r>
          <w:r>
            <w:tab/>
          </w:r>
          <w:r>
            <w:fldChar w:fldCharType="begin"/>
          </w:r>
          <w:r>
            <w:instrText xml:space="preserve"> PAGEREF _Toc8246 \h </w:instrText>
          </w:r>
          <w:r>
            <w:fldChar w:fldCharType="separate"/>
          </w:r>
          <w:r>
            <w:t>34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_Toc27101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九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房地产业工资价位</w:t>
          </w:r>
          <w:r>
            <w:tab/>
          </w:r>
          <w:r>
            <w:fldChar w:fldCharType="begin"/>
          </w:r>
          <w:r>
            <w:instrText xml:space="preserve"> PAGEREF _Toc27101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_Toc23096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十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租赁和商务服务业工资价位</w:t>
          </w:r>
          <w:r>
            <w:tab/>
          </w:r>
          <w:r>
            <w:fldChar w:fldCharType="begin"/>
          </w:r>
          <w:r>
            <w:instrText xml:space="preserve"> PAGEREF _Toc23096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_Toc10853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十一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居民服务、修理和其他服务业工资价位</w:t>
          </w:r>
          <w:r>
            <w:tab/>
          </w:r>
          <w:r>
            <w:fldChar w:fldCharType="begin"/>
          </w:r>
          <w:r>
            <w:instrText xml:space="preserve"> PAGEREF _Toc10853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_Toc31379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十二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eastAsia="zh-CN"/>
            </w:rPr>
            <w:t>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文化、体育和娱乐业工资价位</w:t>
          </w:r>
          <w:r>
            <w:tab/>
          </w:r>
          <w:r>
            <w:fldChar w:fldCharType="begin"/>
          </w:r>
          <w:r>
            <w:instrText xml:space="preserve"> PAGEREF _Toc31379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_Toc6810 </w:instrText>
          </w:r>
          <w:r>
            <w:fldChar w:fldCharType="separate"/>
          </w:r>
          <w:r>
            <w:rPr>
              <w:rFonts w:hint="eastAsia" w:ascii="黑体" w:hAnsi="黑体"/>
              <w:lang w:val="en-US" w:eastAsia="zh-CN"/>
            </w:rPr>
            <w:t>四、</w:t>
          </w:r>
          <w:r>
            <w:rPr>
              <w:rFonts w:hint="eastAsia" w:ascii="黑体" w:hAnsi="黑体" w:eastAsia="黑体"/>
            </w:rPr>
            <w:t>分登记注册类型企业从业人员工资价位</w:t>
          </w:r>
          <w:r>
            <w:tab/>
          </w:r>
          <w:r>
            <w:fldChar w:fldCharType="begin"/>
          </w:r>
          <w:r>
            <w:instrText xml:space="preserve"> PAGEREF _Toc6810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_Toc20673 </w:instrText>
          </w:r>
          <w:r>
            <w:fldChar w:fldCharType="separate"/>
          </w:r>
          <w:r>
            <w:rPr>
              <w:rFonts w:hint="eastAsia" w:ascii="黑体" w:hAnsi="黑体"/>
              <w:lang w:val="en-US" w:eastAsia="zh-CN"/>
            </w:rPr>
            <w:t>五、</w:t>
          </w:r>
          <w:r>
            <w:rPr>
              <w:rFonts w:hint="eastAsia" w:ascii="黑体" w:hAnsi="黑体" w:eastAsia="黑体"/>
            </w:rPr>
            <w:t>分</w:t>
          </w:r>
          <w:r>
            <w:rPr>
              <w:rFonts w:hint="eastAsia" w:ascii="黑体" w:hAnsi="黑体"/>
              <w:lang w:val="en-US" w:eastAsia="zh-CN"/>
            </w:rPr>
            <w:t>企业</w:t>
          </w:r>
          <w:r>
            <w:rPr>
              <w:rFonts w:hint="eastAsia" w:ascii="黑体" w:hAnsi="黑体" w:eastAsia="黑体"/>
            </w:rPr>
            <w:t>规模企业从业人员工资价位</w:t>
          </w:r>
          <w:r>
            <w:tab/>
          </w:r>
          <w:r>
            <w:fldChar w:fldCharType="begin"/>
          </w:r>
          <w:r>
            <w:instrText xml:space="preserve"> PAGEREF _Toc20673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_Toc21446 </w:instrText>
          </w:r>
          <w:r>
            <w:fldChar w:fldCharType="separate"/>
          </w:r>
          <w:r>
            <w:rPr>
              <w:rFonts w:hint="eastAsia" w:ascii="黑体" w:hAnsi="黑体"/>
              <w:lang w:val="en-US" w:eastAsia="zh-CN"/>
            </w:rPr>
            <w:t>六、</w:t>
          </w:r>
          <w:r>
            <w:rPr>
              <w:rFonts w:hint="eastAsia" w:ascii="黑体" w:hAnsi="黑体" w:eastAsia="黑体"/>
            </w:rPr>
            <w:t>分岗位等级企业从业人员工资价位</w:t>
          </w:r>
          <w:r>
            <w:tab/>
          </w:r>
          <w:r>
            <w:fldChar w:fldCharType="begin"/>
          </w:r>
          <w:r>
            <w:instrText xml:space="preserve"> PAGEREF _Toc21446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_Toc25015 </w:instrText>
          </w:r>
          <w:r>
            <w:fldChar w:fldCharType="separate"/>
          </w:r>
          <w:r>
            <w:rPr>
              <w:rFonts w:hint="eastAsia" w:ascii="黑体" w:hAnsi="黑体"/>
              <w:lang w:val="en-US" w:eastAsia="zh-CN"/>
            </w:rPr>
            <w:t>七、</w:t>
          </w:r>
          <w:r>
            <w:rPr>
              <w:rFonts w:hint="eastAsia" w:ascii="黑体" w:hAnsi="黑体" w:eastAsia="黑体"/>
            </w:rPr>
            <w:t>分学历企业从业人员工资价位</w:t>
          </w:r>
          <w:r>
            <w:tab/>
          </w:r>
          <w:r>
            <w:fldChar w:fldCharType="begin"/>
          </w:r>
          <w:r>
            <w:instrText xml:space="preserve"> PAGEREF _Toc25015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_Toc7319 </w:instrText>
          </w:r>
          <w:r>
            <w:fldChar w:fldCharType="separate"/>
          </w:r>
          <w:r>
            <w:rPr>
              <w:rFonts w:hint="eastAsia" w:ascii="方正小标宋_GBK" w:eastAsia="方正小标宋_GBK" w:hAnsiTheme="minorHAnsi" w:cstheme="minorBidi"/>
              <w:szCs w:val="36"/>
            </w:rPr>
            <w:t xml:space="preserve">第二部分 </w:t>
          </w:r>
          <w:r>
            <w:rPr>
              <w:rFonts w:hint="eastAsia" w:ascii="方正小标宋_GBK" w:eastAsia="方正小标宋_GBK" w:hAnsiTheme="minorHAnsi" w:cstheme="minorBidi"/>
              <w:szCs w:val="36"/>
              <w:lang w:eastAsia="zh-CN"/>
            </w:rPr>
            <w:t>绍兴</w:t>
          </w:r>
          <w:r>
            <w:rPr>
              <w:rFonts w:hint="eastAsia" w:ascii="方正小标宋_GBK" w:eastAsia="方正小标宋_GBK" w:hAnsiTheme="minorHAnsi" w:cstheme="minorBidi"/>
              <w:szCs w:val="36"/>
            </w:rPr>
            <w:t>市行业人工成本信息</w:t>
          </w:r>
          <w:r>
            <w:tab/>
          </w:r>
          <w:r>
            <w:fldChar w:fldCharType="begin"/>
          </w:r>
          <w:r>
            <w:instrText xml:space="preserve"> PAGEREF _Toc7319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_Toc203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一、企业人均人工成本</w:t>
          </w:r>
          <w:r>
            <w:tab/>
          </w:r>
          <w:r>
            <w:fldChar w:fldCharType="begin"/>
          </w:r>
          <w:r>
            <w:instrText xml:space="preserve"> PAGEREF _Toc203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_Toc3300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（一）分行业门类企业人均人工成本</w:t>
          </w:r>
          <w:r>
            <w:tab/>
          </w:r>
          <w:r>
            <w:fldChar w:fldCharType="begin"/>
          </w:r>
          <w:r>
            <w:instrText xml:space="preserve"> PAGEREF _Toc3300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_Toc6381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二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制造业大类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企业人均人工成本</w:t>
          </w:r>
          <w:r>
            <w:tab/>
          </w:r>
          <w:r>
            <w:fldChar w:fldCharType="begin"/>
          </w:r>
          <w:r>
            <w:instrText xml:space="preserve"> PAGEREF _Toc6381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_Toc5254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）分登记注册类型企业人均人工成本</w:t>
          </w:r>
          <w:r>
            <w:tab/>
          </w:r>
          <w:r>
            <w:fldChar w:fldCharType="begin"/>
          </w:r>
          <w:r>
            <w:instrText xml:space="preserve"> PAGEREF _Toc5254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_Toc28818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四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企业规模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企业人均人工成本</w:t>
          </w:r>
          <w:r>
            <w:tab/>
          </w:r>
          <w:r>
            <w:fldChar w:fldCharType="begin"/>
          </w:r>
          <w:r>
            <w:instrText xml:space="preserve"> PAGEREF _Toc28818 \h </w:instrText>
          </w:r>
          <w:r>
            <w:fldChar w:fldCharType="separate"/>
          </w:r>
          <w:r>
            <w:t>43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_Toc9751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二、企业人工成本构成</w:t>
          </w:r>
          <w:r>
            <w:tab/>
          </w:r>
          <w:r>
            <w:fldChar w:fldCharType="begin"/>
          </w:r>
          <w:r>
            <w:instrText xml:space="preserve"> PAGEREF _Toc9751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_Toc17917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（一）分行业门类企业人工成本构成</w:t>
          </w:r>
          <w:r>
            <w:tab/>
          </w:r>
          <w:r>
            <w:fldChar w:fldCharType="begin"/>
          </w:r>
          <w:r>
            <w:instrText xml:space="preserve"> PAGEREF _Toc17917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_Toc3225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二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制造业大类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企业人工成本构成</w:t>
          </w:r>
          <w:r>
            <w:tab/>
          </w:r>
          <w:r>
            <w:fldChar w:fldCharType="begin"/>
          </w:r>
          <w:r>
            <w:instrText xml:space="preserve"> PAGEREF _Toc3225 \h </w:instrText>
          </w:r>
          <w:r>
            <w:fldChar w:fldCharType="separate"/>
          </w:r>
          <w:r>
            <w:t>45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_Toc20173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）分登记注册类型企业人工成本构成</w:t>
          </w:r>
          <w:r>
            <w:tab/>
          </w:r>
          <w:r>
            <w:fldChar w:fldCharType="begin"/>
          </w:r>
          <w:r>
            <w:instrText xml:space="preserve"> PAGEREF _Toc20173 \h </w:instrText>
          </w:r>
          <w:r>
            <w:fldChar w:fldCharType="separate"/>
          </w:r>
          <w:r>
            <w:t>46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_Toc27467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四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企业规模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企业人工成本构成</w:t>
          </w:r>
          <w:r>
            <w:tab/>
          </w:r>
          <w:r>
            <w:fldChar w:fldCharType="begin"/>
          </w:r>
          <w:r>
            <w:instrText xml:space="preserve"> PAGEREF _Toc27467 \h </w:instrText>
          </w:r>
          <w:r>
            <w:fldChar w:fldCharType="separate"/>
          </w:r>
          <w:r>
            <w:t>47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_Toc15605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三、企业人工成本效益</w:t>
          </w:r>
          <w:r>
            <w:tab/>
          </w:r>
          <w:r>
            <w:fldChar w:fldCharType="begin"/>
          </w:r>
          <w:r>
            <w:instrText xml:space="preserve"> PAGEREF _Toc15605 \h </w:instrText>
          </w:r>
          <w:r>
            <w:fldChar w:fldCharType="separate"/>
          </w:r>
          <w:r>
            <w:t>47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_Toc8505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（一）分行业门类企业人工成本效益</w:t>
          </w:r>
          <w:r>
            <w:tab/>
          </w:r>
          <w:r>
            <w:fldChar w:fldCharType="begin"/>
          </w:r>
          <w:r>
            <w:instrText xml:space="preserve"> PAGEREF _Toc8505 \h </w:instrText>
          </w:r>
          <w:r>
            <w:fldChar w:fldCharType="separate"/>
          </w:r>
          <w:r>
            <w:t>47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_Toc15504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二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制造业大类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企业人工成本效益</w:t>
          </w:r>
          <w:r>
            <w:tab/>
          </w:r>
          <w:r>
            <w:fldChar w:fldCharType="begin"/>
          </w:r>
          <w:r>
            <w:instrText xml:space="preserve"> PAGEREF _Toc15504 \h </w:instrText>
          </w:r>
          <w:r>
            <w:fldChar w:fldCharType="separate"/>
          </w:r>
          <w:r>
            <w:t>48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_Toc22098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三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）分登记注册类型企业人工成本效益</w:t>
          </w:r>
          <w:r>
            <w:tab/>
          </w:r>
          <w:r>
            <w:fldChar w:fldCharType="begin"/>
          </w:r>
          <w:r>
            <w:instrText xml:space="preserve"> PAGEREF _Toc22098 \h </w:instrText>
          </w:r>
          <w:r>
            <w:fldChar w:fldCharType="separate"/>
          </w:r>
          <w:r>
            <w:t>49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_Toc14633 </w:instrText>
          </w:r>
          <w:r>
            <w:fldChar w:fldCharType="separate"/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（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四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）分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  <w:lang w:val="en-US" w:eastAsia="zh-CN"/>
            </w:rPr>
            <w:t>企业规模</w:t>
          </w:r>
          <w:r>
            <w:rPr>
              <w:rFonts w:hint="eastAsia" w:ascii="楷体_GB2312" w:eastAsia="楷体_GB2312" w:hAnsiTheme="minorHAnsi" w:cstheme="minorBidi"/>
              <w:kern w:val="2"/>
              <w:szCs w:val="22"/>
            </w:rPr>
            <w:t>企业人工成本效益</w:t>
          </w:r>
          <w:r>
            <w:tab/>
          </w:r>
          <w:r>
            <w:fldChar w:fldCharType="begin"/>
          </w:r>
          <w:r>
            <w:instrText xml:space="preserve"> PAGEREF _Toc14633 \h </w:instrText>
          </w:r>
          <w:r>
            <w:fldChar w:fldCharType="separate"/>
          </w:r>
          <w:r>
            <w:t>50</w:t>
          </w:r>
          <w:r>
            <w:fldChar w:fldCharType="end"/>
          </w:r>
          <w:r>
            <w:fldChar w:fldCharType="end"/>
          </w:r>
        </w:p>
        <w:p>
          <w:pPr>
            <w:jc w:val="center"/>
            <w:rPr>
              <w:b/>
            </w:rPr>
          </w:pPr>
          <w:r>
            <w:fldChar w:fldCharType="end"/>
          </w:r>
        </w:p>
      </w:sdtContent>
    </w:sdt>
    <w:p>
      <w:pPr>
        <w:jc w:val="center"/>
        <w:rPr>
          <w:b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widowControl w:val="0"/>
        <w:jc w:val="center"/>
        <w:rPr>
          <w:rFonts w:hint="eastAsia" w:ascii="方正小标宋_GBK" w:eastAsia="方正小标宋_GBK" w:hAnsiTheme="minorHAnsi" w:cstheme="minorBidi"/>
          <w:b/>
          <w:bCs/>
          <w:sz w:val="36"/>
          <w:szCs w:val="36"/>
        </w:rPr>
      </w:pPr>
      <w:bookmarkStart w:id="0" w:name="_Toc77776553"/>
      <w:bookmarkStart w:id="1" w:name="_Toc107219139"/>
      <w:bookmarkStart w:id="2" w:name="_Toc12061"/>
      <w:bookmarkStart w:id="3" w:name="_Toc22362"/>
      <w:bookmarkStart w:id="4" w:name="_Toc80627242"/>
      <w:bookmarkStart w:id="5" w:name="_Toc80627336"/>
      <w:r>
        <w:rPr>
          <w:rFonts w:hint="eastAsia" w:ascii="方正小标宋_GBK" w:eastAsia="方正小标宋_GBK" w:hAnsiTheme="minorHAnsi" w:cstheme="minorBidi"/>
          <w:b/>
          <w:bCs/>
          <w:sz w:val="36"/>
          <w:szCs w:val="36"/>
        </w:rPr>
        <w:t xml:space="preserve">第一部分 </w:t>
      </w:r>
      <w:r>
        <w:rPr>
          <w:rFonts w:hint="eastAsia" w:ascii="方正小标宋_GBK" w:eastAsia="方正小标宋_GBK" w:hAnsiTheme="minorHAnsi" w:cstheme="minorBidi"/>
          <w:b/>
          <w:bCs/>
          <w:sz w:val="36"/>
          <w:szCs w:val="36"/>
          <w:lang w:eastAsia="zh-CN"/>
        </w:rPr>
        <w:t>绍兴</w:t>
      </w:r>
      <w:r>
        <w:rPr>
          <w:rFonts w:hint="eastAsia" w:ascii="方正小标宋_GBK" w:eastAsia="方正小标宋_GBK" w:hAnsiTheme="minorHAnsi" w:cstheme="minorBidi"/>
          <w:b/>
          <w:bCs/>
          <w:sz w:val="36"/>
          <w:szCs w:val="36"/>
        </w:rPr>
        <w:t>市人力资源市场从业人员工资价位信息</w:t>
      </w:r>
      <w:bookmarkEnd w:id="0"/>
      <w:bookmarkEnd w:id="1"/>
      <w:bookmarkEnd w:id="2"/>
      <w:bookmarkEnd w:id="3"/>
      <w:bookmarkEnd w:id="4"/>
      <w:bookmarkEnd w:id="5"/>
    </w:p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6" w:name="_Toc77776554"/>
      <w:bookmarkStart w:id="7" w:name="_Toc7066"/>
      <w:bookmarkStart w:id="8" w:name="_Toc80627243"/>
      <w:bookmarkStart w:id="9" w:name="_Toc80627337"/>
      <w:bookmarkStart w:id="10" w:name="_Toc107219140"/>
      <w:r>
        <w:rPr>
          <w:rFonts w:hint="eastAsia" w:ascii="黑体" w:hAnsi="黑体" w:eastAsia="黑体"/>
          <w:b/>
        </w:rPr>
        <w:t>一、分职业</w:t>
      </w:r>
      <w:r>
        <w:rPr>
          <w:rFonts w:hint="eastAsia" w:ascii="黑体" w:hAnsi="黑体"/>
          <w:b/>
          <w:lang w:val="en-US" w:eastAsia="zh-CN"/>
        </w:rPr>
        <w:t>细类</w:t>
      </w:r>
      <w:r>
        <w:rPr>
          <w:rFonts w:hint="eastAsia" w:ascii="黑体" w:hAnsi="黑体" w:eastAsia="黑体"/>
          <w:b/>
        </w:rPr>
        <w:t>企业从业人员工资价位</w:t>
      </w:r>
      <w:bookmarkEnd w:id="6"/>
      <w:bookmarkEnd w:id="7"/>
      <w:bookmarkEnd w:id="8"/>
      <w:bookmarkEnd w:id="9"/>
      <w:bookmarkEnd w:id="1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绍兴市分职业细类企业从业人员工资价位（2022）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1" w:name="_Toc107219141"/>
            <w:bookmarkStart w:id="12" w:name="_Toc80627339"/>
            <w:bookmarkStart w:id="13" w:name="_Toc80627245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278483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509282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国有企业中国共产党组织负责人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189747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商务策划专业人员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客运车辆驾驶员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125905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124921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体育场馆管理员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游泳救生员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化工实验工程技术人员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材料成形与改性工程技术人员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特种设备管理和应用工程技术人员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电子材料工程技术人员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电子元器件工程技术人员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电子仪器与电子测量工程技术人员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计算机硬件工程技术人员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226925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信息系统运行维护工程技术人员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263506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光源与照明工程技术人员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163876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供水排水工程技术人员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非金属矿及制品工程技术人员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环境污染防治工程技术人员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127849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健康安全环境工程技术人员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125689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质量认证认可工程技术人员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141149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191310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178390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122484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211894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202410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230743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中医全科医师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102554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经济规划专业人员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招标采购专业人员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银行金融市场业务专业人员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银行清算专业人员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信贷审核专业人员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241318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保险核保专业人员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保险理赔专业人员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161326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229166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214271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179216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节目主持人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打字员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97508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消防监督检查员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道路运输调度员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货运代理服务员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理货员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广播电视机线员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133841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信息通信信息化系统管理员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银行综合柜员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银行信贷员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银行客户业务员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银行信用卡业务员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137831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保险保全员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房地产经纪人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职业培训师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旅游咨询员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117216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纺织面料设计师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工业固体废物处理处置工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生活垃圾清运工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殡仪服务员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水供应服务员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家用电器产品维修工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音响调音员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医疗临床辅助服务员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酿酒师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黄酒酿造工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纺织纤维梳理工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粗纱工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纺纱工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整经工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织布工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印花工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纺织印花制版工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工艺染织品制作工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裁剪工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缝纫品整型工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化工原料准备工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纺丝工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化纤后处理工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橡胶制品生产工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金属材酸碱洗工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金属材热处理工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金属材精整工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金属材丝拉拔工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铣工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刨插工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镗工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下料工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锻造工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机械加工材料切割工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粉末冶金制品制造工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镀层工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喷涂喷焊工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96896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模型制作工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工具五金制作工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金属炊具及器皿制作工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日用五金制品制作工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142530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焊接材料制造工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制冷空调设备装配工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汽车零部件再制造工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高低压电器及成套设备装配工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电光源制造工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汽轮机运行值班员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发电集控值班员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179628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107164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89000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14" w:name="_Toc21778"/>
      <w:r>
        <w:rPr>
          <w:rFonts w:hint="eastAsia" w:ascii="黑体" w:hAnsi="黑体" w:eastAsia="黑体"/>
          <w:b/>
        </w:rPr>
        <w:t>二、部分技术工人职业（工种）分技能等级工资价位</w:t>
      </w:r>
      <w:bookmarkEnd w:id="11"/>
      <w:bookmarkEnd w:id="12"/>
      <w:bookmarkEnd w:id="13"/>
      <w:bookmarkEnd w:id="14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15" w:name="_Toc80627340"/>
      <w:bookmarkStart w:id="16" w:name="_Toc80627246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市部分技术工人职业（工种）分技能等级工资价位（202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15"/>
      <w:bookmarkEnd w:id="16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3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270"/>
        <w:gridCol w:w="988"/>
        <w:gridCol w:w="1102"/>
        <w:gridCol w:w="1102"/>
        <w:gridCol w:w="1102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技术工种及岗位等级</w:t>
            </w:r>
          </w:p>
        </w:tc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171019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128638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106851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97309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142337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109988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108533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107164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127839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122607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铣工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117215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117588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142747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126793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131481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147416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140996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企业人力咨询管理师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109793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152638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64824.8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68374.84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76375.52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82115.76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机床装修维修工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锻造工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有害生物防制员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74913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17" w:name="_Toc107219142"/>
      <w:bookmarkStart w:id="18" w:name="_Toc18250"/>
      <w:bookmarkStart w:id="19" w:name="_Toc80627247"/>
      <w:bookmarkStart w:id="20" w:name="_Toc80627341"/>
      <w:r>
        <w:rPr>
          <w:rFonts w:hint="eastAsia" w:ascii="黑体" w:hAnsi="黑体" w:eastAsia="黑体"/>
          <w:b/>
        </w:rPr>
        <w:t>三、分行业</w:t>
      </w:r>
      <w:r>
        <w:rPr>
          <w:rFonts w:hint="eastAsia" w:ascii="黑体" w:hAnsi="黑体"/>
          <w:b/>
          <w:lang w:val="en-US" w:eastAsia="zh-CN"/>
        </w:rPr>
        <w:t>类别</w:t>
      </w:r>
      <w:r>
        <w:rPr>
          <w:rFonts w:hint="eastAsia" w:ascii="黑体" w:hAnsi="黑体" w:eastAsia="黑体"/>
          <w:b/>
        </w:rPr>
        <w:t>分职业细类企业从业人员工资价位</w:t>
      </w:r>
      <w:bookmarkEnd w:id="17"/>
      <w:bookmarkEnd w:id="18"/>
      <w:bookmarkEnd w:id="19"/>
      <w:bookmarkEnd w:id="20"/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21" w:name="_Toc628"/>
      <w:bookmarkStart w:id="22" w:name="_Toc80627342"/>
      <w:bookmarkStart w:id="23" w:name="_Toc80627248"/>
      <w:bookmarkStart w:id="24" w:name="_Toc2472"/>
      <w:r>
        <w:rPr>
          <w:rFonts w:hint="eastAsia" w:ascii="楷体_GB2312" w:eastAsia="楷体_GB2312" w:hAnsiTheme="minorHAnsi" w:cstheme="minorBidi"/>
          <w:kern w:val="2"/>
          <w:szCs w:val="22"/>
        </w:rPr>
        <w:t>（一）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制造业</w:t>
      </w:r>
      <w:r>
        <w:rPr>
          <w:rFonts w:hint="eastAsia" w:ascii="楷体_GB2312" w:eastAsia="楷体_GB2312" w:hAnsiTheme="minorHAnsi" w:cstheme="minorBidi"/>
          <w:kern w:val="2"/>
          <w:szCs w:val="22"/>
        </w:rPr>
        <w:t>工资价位</w:t>
      </w:r>
      <w:bookmarkEnd w:id="21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制造业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22"/>
      <w:bookmarkEnd w:id="23"/>
      <w:bookmarkEnd w:id="24"/>
    </w:p>
    <w:p>
      <w:pPr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25" w:name="_Toc301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151571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化工实验工程技术人员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98441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材料成形与改性工程技术人员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特种设备管理和应用工程技术人员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电子材料工程技术人员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电子元器件工程技术人员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电子仪器与电子测量工程技术人员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计算机硬件工程技术人员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信息系统运行维护工程技术人员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102592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133705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229401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302662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187419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非金属矿及制品工程技术人员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124348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环境污染防治工程技术人员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安全技术防范工程技术人员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126989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163741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质量认证认可工程技术人员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数据分析处理工程技术人员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产品质量检验工程技术人员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经济规划专业人员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109897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商务策划专业人员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招标采购专业人员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打字员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村和社区工作者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168292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客运车辆驾驶员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道路运输调度员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133406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理货员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信息通信信息化系统管理员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178586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106974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纺织面料设计师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色彩搭配师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工业固体废物处理处置工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畜禽屠宰加工工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酿酒师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黄酒酿造工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丝麻毛纤维预处理工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纺织纤维梳理工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纺纱工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整经工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织布工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印花工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纺织印花制版工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工艺染织品制作工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98368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裁剪工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缝纫品整型工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毛皮及毛皮制品加工工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105948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化工原料准备工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无机化学反应生产工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颜料生产工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染料生产工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发酵工程制药工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纺丝工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化纤后处理工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橡胶制品生产工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水泥混凝土制品工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预拌混凝土生产工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玻璃制品加工工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轧制原料工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金属材酸碱洗工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金属材涂层机组操作工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108261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金属材热处理工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焊管机组操作工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金属材精整工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金属材丝拉拔工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93984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铣工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刨插工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镗工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108885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下料工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108555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锻造工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机械加工材料切割工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粉末冶金制品制造工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157964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镀层工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喷涂喷焊工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模型制作工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工具五金制作工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金属炊具及器皿制作工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日用五金制品制作工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焊接设备装配调试工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焊接材料制造工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压缩机装配调试工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制冷空调设备装配工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阀门装配调试工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汽车零部件再制造工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高低压电器及成套设备装配工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147391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变电设备检修工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122485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103972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26" w:name="_Toc4725"/>
      <w:bookmarkStart w:id="27" w:name="_Toc80627343"/>
      <w:bookmarkStart w:id="28" w:name="_Toc80627249"/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（二）电力、热力、燃气及水生产和供应业</w:t>
      </w:r>
      <w:r>
        <w:rPr>
          <w:rFonts w:hint="eastAsia" w:ascii="楷体_GB2312" w:eastAsia="楷体_GB2312" w:hAnsiTheme="minorHAnsi" w:cstheme="minorBidi"/>
          <w:kern w:val="2"/>
          <w:szCs w:val="22"/>
        </w:rPr>
        <w:t>工资价位</w:t>
      </w:r>
      <w:bookmarkEnd w:id="26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电力、热力、燃气及水生产和供应业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bookmarkEnd w:id="25"/>
    <w:bookmarkEnd w:id="27"/>
    <w:bookmarkEnd w:id="28"/>
    <w:p>
      <w:pPr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218972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130565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284367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263466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282084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156914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156312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水供应服务员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142786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汽轮机运行值班员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发电集控值班员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137348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170447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184083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241187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267681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145956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147027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159113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29" w:name="_Toc31018"/>
      <w:bookmarkStart w:id="30" w:name="_Toc80627251"/>
      <w:bookmarkStart w:id="31" w:name="_Toc80627345"/>
      <w:bookmarkStart w:id="32" w:name="_Toc18075"/>
      <w:bookmarkStart w:id="33" w:name="_Toc77776556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三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建筑业</w:t>
      </w:r>
      <w:r>
        <w:rPr>
          <w:rFonts w:hint="eastAsia" w:ascii="楷体_GB2312" w:eastAsia="楷体_GB2312" w:hAnsiTheme="minorHAnsi" w:cstheme="minorBidi"/>
          <w:kern w:val="2"/>
          <w:szCs w:val="22"/>
        </w:rPr>
        <w:t>工资价位</w:t>
      </w:r>
      <w:bookmarkEnd w:id="29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建筑业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30"/>
      <w:bookmarkEnd w:id="31"/>
      <w:bookmarkEnd w:id="32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121156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125293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226363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221255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供水排水工程技术人员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工程勘察与岩土工程技术人员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道路与桥隧工程技术人员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98544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102434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118956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110546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186899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商务策划专业人员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招标采购专业人员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90507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103392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建筑门窗幕墙安装工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照明工程施工员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114935 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34" w:name="_Toc12112"/>
      <w:bookmarkStart w:id="35" w:name="_Toc80627252"/>
      <w:bookmarkStart w:id="36" w:name="_Toc80627346"/>
      <w:bookmarkStart w:id="37" w:name="_Toc21804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四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批发和零售业</w:t>
      </w:r>
      <w:r>
        <w:rPr>
          <w:rFonts w:hint="eastAsia" w:ascii="楷体_GB2312" w:eastAsia="楷体_GB2312" w:hAnsiTheme="minorHAnsi" w:cstheme="minorBidi"/>
          <w:kern w:val="2"/>
          <w:szCs w:val="22"/>
        </w:rPr>
        <w:t>工资价位</w:t>
      </w:r>
      <w:bookmarkEnd w:id="34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批发和零售业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35"/>
      <w:bookmarkEnd w:id="36"/>
      <w:bookmarkEnd w:id="37"/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单位：元</w:t>
      </w:r>
      <w:bookmarkStart w:id="38" w:name="_Toc23901"/>
      <w:bookmarkStart w:id="39" w:name="_Toc80627253"/>
      <w:bookmarkStart w:id="40" w:name="_Toc80627347"/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792"/>
        <w:gridCol w:w="902"/>
        <w:gridCol w:w="902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175489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商务策划专业人员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128623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客运车辆驾驶员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货运代理服务员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98186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缝纫品整型工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127410 </w:t>
            </w:r>
          </w:p>
        </w:tc>
      </w:tr>
    </w:tbl>
    <w:p/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1" w:name="_Toc701"/>
      <w:r>
        <w:rPr>
          <w:rFonts w:hint="eastAsia" w:ascii="楷体_GB2312" w:eastAsia="楷体_GB2312" w:hAnsiTheme="minorHAnsi" w:cstheme="minorBidi"/>
          <w:kern w:val="2"/>
          <w:szCs w:val="22"/>
        </w:rPr>
        <w:t>（五）交通运输、仓储和邮政业工资价位</w:t>
      </w:r>
      <w:bookmarkEnd w:id="41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市交通运输、仓储和邮政业分职业细类企业从业人员工资价位（202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38"/>
      <w:bookmarkEnd w:id="39"/>
      <w:bookmarkEnd w:id="40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12"/>
        <w:gridCol w:w="812"/>
        <w:gridCol w:w="925"/>
        <w:gridCol w:w="925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214107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165231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263952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142651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客运车辆驾驶员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道路货运汽车驾驶员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道路运输调度员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路况信息监控员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油气电站操作员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装卸搬运工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工业固体废物处理处置工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129353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2" w:name="_Toc18630"/>
      <w:r>
        <w:rPr>
          <w:rFonts w:hint="eastAsia" w:ascii="楷体_GB2312" w:eastAsia="楷体_GB2312" w:hAnsiTheme="minorHAnsi" w:cstheme="minorBidi"/>
          <w:kern w:val="2"/>
          <w:szCs w:val="22"/>
        </w:rPr>
        <w:t>（六）住宿和餐饮业工资价位</w:t>
      </w:r>
      <w:bookmarkEnd w:id="42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市住宿和餐饮业分职业细类企业从业人员工资价位（202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154533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219615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电工电器工程技术人员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电力工程安装工程技术人员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宴会定制服务师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音响调音员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48300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3" w:name="_Toc4074"/>
      <w:r>
        <w:rPr>
          <w:rFonts w:hint="eastAsia" w:ascii="楷体_GB2312" w:eastAsia="楷体_GB2312" w:hAnsiTheme="minorHAnsi" w:cstheme="minorBidi"/>
          <w:kern w:val="2"/>
          <w:szCs w:val="22"/>
        </w:rPr>
        <w:t>（七）信息传输、软件和信息技术服务业工资价位</w:t>
      </w:r>
      <w:bookmarkEnd w:id="43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市信息传输、软件和信息技术服务业分职业细类企业从业人员工资价位（202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215833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120442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国有企业中国共产党组织负责人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193844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170802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广播电视传输覆盖工程技术人员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148232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151841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152995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173561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330214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110417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146983 </w:t>
            </w:r>
          </w:p>
        </w:tc>
      </w:tr>
    </w:tbl>
    <w:p>
      <w:pPr>
        <w:jc w:val="right"/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4" w:name="_Toc8246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八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</w:rPr>
        <w:t>金融业工资价位</w:t>
      </w:r>
      <w:bookmarkEnd w:id="44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市金融业分职业细类企业从业人员工资价位（202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290524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银行金融市场业务专业人员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246695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银行清算专业人员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信贷审核专业人员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186577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273997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银行国际业务专业人员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保险核保专业人员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保险理赔专业人员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119911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248447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168753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202741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银行综合柜员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银行信贷员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银行客户业务员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337941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银行信用卡业务员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314128 </w:t>
            </w:r>
          </w:p>
        </w:tc>
      </w:tr>
    </w:tbl>
    <w:p>
      <w:pPr>
        <w:jc w:val="both"/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5" w:name="_Toc27101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九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</w:rPr>
        <w:t>房地产业工资价位</w:t>
      </w:r>
      <w:bookmarkEnd w:id="45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市房地产业分职业细类企业从业人员工资价位（202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276730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建筑和市政设计工程技术人员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106299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244438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166813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房地产经纪人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75116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6" w:name="_Toc23096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十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</w:rPr>
        <w:t>租赁和商务服务业工资价位</w:t>
      </w:r>
      <w:bookmarkEnd w:id="46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市租赁和商务服务业分职业细类企业从业人员工资价位（202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12"/>
        <w:gridCol w:w="812"/>
        <w:gridCol w:w="925"/>
        <w:gridCol w:w="925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47" w:name="_Toc10721914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211297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97573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客运车辆驾驶员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127331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73400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8" w:name="_Toc10853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十一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</w:rPr>
        <w:t>居民服务、修理和其他服务业工资价位</w:t>
      </w:r>
      <w:bookmarkEnd w:id="48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市居民服务、修理和其他服务业分职业细类企业从业人员工资价位（202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工程造价工程技术人员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121872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卫生工程技师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68864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生活垃圾清运工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殡仪服务员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119718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医疗临床辅助服务员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87677 </w:t>
            </w:r>
          </w:p>
        </w:tc>
      </w:tr>
    </w:tbl>
    <w:p/>
    <w:p/>
    <w:p/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49" w:name="_Toc31379"/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十二</w:t>
      </w:r>
      <w:r>
        <w:rPr>
          <w:rFonts w:hint="eastAsia" w:ascii="楷体_GB2312" w:eastAsia="楷体_GB2312" w:hAnsiTheme="minorHAnsi" w:cstheme="minorBidi"/>
          <w:kern w:val="2"/>
          <w:szCs w:val="22"/>
          <w:lang w:eastAsia="zh-CN"/>
        </w:rPr>
        <w:t>）</w:t>
      </w:r>
      <w:r>
        <w:rPr>
          <w:rFonts w:hint="eastAsia" w:ascii="楷体_GB2312" w:eastAsia="楷体_GB2312" w:hAnsiTheme="minorHAnsi" w:cstheme="minorBidi"/>
          <w:kern w:val="2"/>
          <w:szCs w:val="22"/>
        </w:rPr>
        <w:t>文化、体育和娱乐业工资价位</w:t>
      </w:r>
      <w:bookmarkEnd w:id="49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市文化、体育和娱乐业分职业细类企业从业人员工资价位（202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职业细类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165393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文字记者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144707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209353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174773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游泳救生员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康乐服务员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64727 </w:t>
            </w:r>
          </w:p>
        </w:tc>
      </w:tr>
    </w:tbl>
    <w:p/>
    <w:bookmarkEnd w:id="47"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50" w:name="_Toc6810"/>
      <w:bookmarkStart w:id="51" w:name="_Toc107219144"/>
      <w:bookmarkStart w:id="52" w:name="_Toc80627265"/>
      <w:bookmarkStart w:id="53" w:name="_Toc80627359"/>
      <w:r>
        <w:rPr>
          <w:rFonts w:hint="eastAsia" w:ascii="黑体" w:hAnsi="黑体" w:eastAsia="黑体"/>
          <w:b/>
          <w:lang w:val="en-US" w:eastAsia="zh-CN"/>
        </w:rPr>
        <w:t>四、</w:t>
      </w:r>
      <w:r>
        <w:rPr>
          <w:rFonts w:hint="eastAsia" w:ascii="黑体" w:hAnsi="黑体" w:eastAsia="黑体"/>
          <w:b/>
        </w:rPr>
        <w:t>分登记注册类型企业从业人员工资价位</w:t>
      </w:r>
      <w:bookmarkEnd w:id="33"/>
      <w:bookmarkEnd w:id="50"/>
      <w:bookmarkEnd w:id="51"/>
      <w:bookmarkEnd w:id="52"/>
      <w:bookmarkEnd w:id="53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54" w:name="_Toc80627360"/>
      <w:bookmarkStart w:id="55" w:name="_Toc80627266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市分登记注册类型企业从业人员工资价位（202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54"/>
      <w:bookmarkEnd w:id="55"/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33"/>
        <w:gridCol w:w="833"/>
        <w:gridCol w:w="833"/>
        <w:gridCol w:w="950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56" w:name="_Toc77776557"/>
            <w:bookmarkStart w:id="57" w:name="_Toc80627361"/>
            <w:bookmarkStart w:id="58" w:name="_Toc107219145"/>
            <w:bookmarkStart w:id="59" w:name="_Toc80627267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国有企业（不含国有独资公司）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有限责任公司（含国有独资公司）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合资经营企业（港或澳、台资）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港、澳、台商独资经营企业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中外合资经营企业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120107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60" w:name="_Toc20673"/>
      <w:r>
        <w:rPr>
          <w:rFonts w:hint="eastAsia" w:ascii="黑体" w:hAnsi="黑体"/>
          <w:b/>
          <w:lang w:val="en-US" w:eastAsia="zh-CN"/>
        </w:rPr>
        <w:t>五、</w:t>
      </w:r>
      <w:r>
        <w:rPr>
          <w:rFonts w:hint="eastAsia" w:ascii="黑体" w:hAnsi="黑体" w:eastAsia="黑体"/>
          <w:b/>
        </w:rPr>
        <w:t>分</w:t>
      </w:r>
      <w:r>
        <w:rPr>
          <w:rFonts w:hint="eastAsia" w:ascii="黑体" w:hAnsi="黑体"/>
          <w:b/>
          <w:lang w:val="en-US" w:eastAsia="zh-CN"/>
        </w:rPr>
        <w:t>企业</w:t>
      </w:r>
      <w:r>
        <w:rPr>
          <w:rFonts w:hint="eastAsia" w:ascii="黑体" w:hAnsi="黑体" w:eastAsia="黑体"/>
          <w:b/>
        </w:rPr>
        <w:t>规模企业从业人员工资价位</w:t>
      </w:r>
      <w:bookmarkEnd w:id="56"/>
      <w:bookmarkEnd w:id="57"/>
      <w:bookmarkEnd w:id="58"/>
      <w:bookmarkEnd w:id="59"/>
      <w:bookmarkEnd w:id="60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61" w:name="_Toc80627268"/>
      <w:bookmarkStart w:id="62" w:name="_Toc80627362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规模企业从业人员工资价位（202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61"/>
      <w:bookmarkEnd w:id="62"/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33"/>
        <w:gridCol w:w="833"/>
        <w:gridCol w:w="833"/>
        <w:gridCol w:w="950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63" w:name="_Toc80627363"/>
            <w:bookmarkStart w:id="64" w:name="_Toc107219146"/>
            <w:bookmarkStart w:id="65" w:name="_Toc80627269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129076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66" w:name="_Toc21446"/>
      <w:r>
        <w:rPr>
          <w:rFonts w:hint="eastAsia" w:ascii="黑体" w:hAnsi="黑体"/>
          <w:b/>
          <w:lang w:val="en-US" w:eastAsia="zh-CN"/>
        </w:rPr>
        <w:t>六、</w:t>
      </w:r>
      <w:r>
        <w:rPr>
          <w:rFonts w:hint="eastAsia" w:ascii="黑体" w:hAnsi="黑体" w:eastAsia="黑体"/>
          <w:b/>
        </w:rPr>
        <w:t>分岗位等级企业从业人员工资价位</w:t>
      </w:r>
      <w:bookmarkEnd w:id="63"/>
      <w:bookmarkEnd w:id="64"/>
      <w:bookmarkEnd w:id="65"/>
      <w:bookmarkEnd w:id="66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67" w:name="_Toc80627270"/>
      <w:bookmarkStart w:id="68" w:name="_Toc80627364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市分岗位等级企业从业人员工资价位（202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67"/>
      <w:bookmarkEnd w:id="68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13"/>
        <w:gridCol w:w="813"/>
        <w:gridCol w:w="921"/>
        <w:gridCol w:w="927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215272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153869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中层管理岗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164418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管理类员工岗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144769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120753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132789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没有取得专业技术职称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159659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119408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没有取得资格证书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97670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69" w:name="_Toc25015"/>
      <w:bookmarkStart w:id="70" w:name="_Toc107219147"/>
      <w:bookmarkStart w:id="71" w:name="_Toc80627271"/>
      <w:bookmarkStart w:id="72" w:name="_Toc80627365"/>
      <w:r>
        <w:rPr>
          <w:rFonts w:hint="eastAsia" w:ascii="黑体" w:hAnsi="黑体"/>
          <w:b/>
          <w:lang w:val="en-US" w:eastAsia="zh-CN"/>
        </w:rPr>
        <w:t>七、</w:t>
      </w:r>
      <w:r>
        <w:rPr>
          <w:rFonts w:hint="eastAsia" w:ascii="黑体" w:hAnsi="黑体" w:eastAsia="黑体"/>
          <w:b/>
        </w:rPr>
        <w:t>分学历企业从业人员工资价位</w:t>
      </w:r>
      <w:bookmarkEnd w:id="69"/>
      <w:bookmarkEnd w:id="70"/>
      <w:bookmarkEnd w:id="71"/>
      <w:bookmarkEnd w:id="72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73" w:name="_Toc80627272"/>
      <w:bookmarkStart w:id="74" w:name="_Toc80627366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市分学历企业从业人员工资价位（202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73"/>
      <w:bookmarkEnd w:id="74"/>
    </w:p>
    <w:p>
      <w:pPr>
        <w:jc w:val="righ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12"/>
        <w:gridCol w:w="812"/>
        <w:gridCol w:w="925"/>
        <w:gridCol w:w="925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研究生（含博士、硕士）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131332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高中、中专或技校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95994 </w:t>
            </w:r>
          </w:p>
        </w:tc>
      </w:tr>
    </w:tbl>
    <w:p>
      <w:pPr>
        <w:jc w:val="center"/>
        <w:rPr>
          <w:b/>
        </w:rPr>
        <w:sectPr>
          <w:pgSz w:w="11906" w:h="16838"/>
          <w:pgMar w:top="1701" w:right="1418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435" w:charSpace="0"/>
        </w:sectPr>
      </w:pPr>
    </w:p>
    <w:p>
      <w:pPr>
        <w:pStyle w:val="2"/>
        <w:widowControl w:val="0"/>
        <w:jc w:val="center"/>
        <w:rPr>
          <w:rFonts w:hint="eastAsia" w:ascii="方正小标宋_GBK" w:eastAsia="方正小标宋_GBK" w:hAnsiTheme="minorHAnsi" w:cstheme="minorBidi"/>
          <w:b/>
          <w:sz w:val="36"/>
          <w:szCs w:val="36"/>
        </w:rPr>
      </w:pPr>
      <w:bookmarkStart w:id="75" w:name="_Toc77776565"/>
      <w:bookmarkStart w:id="76" w:name="_Toc80627367"/>
      <w:bookmarkStart w:id="77" w:name="_Toc29570"/>
      <w:bookmarkStart w:id="78" w:name="_Toc80627273"/>
      <w:bookmarkStart w:id="79" w:name="_Toc7319"/>
      <w:bookmarkStart w:id="80" w:name="_Toc107219148"/>
      <w:r>
        <w:rPr>
          <w:rFonts w:hint="eastAsia" w:ascii="方正小标宋_GBK" w:eastAsia="方正小标宋_GBK" w:hAnsiTheme="minorHAnsi" w:cstheme="minorBidi"/>
          <w:b/>
          <w:sz w:val="36"/>
          <w:szCs w:val="36"/>
        </w:rPr>
        <w:t xml:space="preserve">第二部分 </w:t>
      </w:r>
      <w:r>
        <w:rPr>
          <w:rFonts w:hint="eastAsia" w:ascii="方正小标宋_GBK" w:eastAsia="方正小标宋_GBK" w:hAnsiTheme="minorHAnsi" w:cstheme="minorBidi"/>
          <w:b/>
          <w:sz w:val="36"/>
          <w:szCs w:val="36"/>
          <w:lang w:eastAsia="zh-CN"/>
        </w:rPr>
        <w:t>绍兴</w:t>
      </w:r>
      <w:r>
        <w:rPr>
          <w:rFonts w:hint="eastAsia" w:ascii="方正小标宋_GBK" w:eastAsia="方正小标宋_GBK" w:hAnsiTheme="minorHAnsi" w:cstheme="minorBidi"/>
          <w:b/>
          <w:sz w:val="36"/>
          <w:szCs w:val="36"/>
        </w:rPr>
        <w:t>市行业人工成本信息</w:t>
      </w:r>
      <w:bookmarkEnd w:id="75"/>
      <w:bookmarkEnd w:id="76"/>
      <w:bookmarkEnd w:id="77"/>
      <w:bookmarkEnd w:id="78"/>
      <w:bookmarkEnd w:id="79"/>
      <w:bookmarkEnd w:id="80"/>
    </w:p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81" w:name="_Toc107219149"/>
      <w:bookmarkStart w:id="82" w:name="_Toc203"/>
      <w:bookmarkStart w:id="83" w:name="_Toc80627274"/>
      <w:bookmarkStart w:id="84" w:name="_Toc80627368"/>
      <w:bookmarkStart w:id="85" w:name="_Toc77776566"/>
      <w:r>
        <w:rPr>
          <w:rFonts w:hint="eastAsia" w:ascii="黑体" w:hAnsi="黑体" w:eastAsia="黑体"/>
          <w:b/>
        </w:rPr>
        <w:t>一、企业人均人工成本</w:t>
      </w:r>
      <w:bookmarkEnd w:id="81"/>
      <w:bookmarkEnd w:id="82"/>
      <w:bookmarkEnd w:id="83"/>
      <w:bookmarkEnd w:id="84"/>
      <w:bookmarkEnd w:id="85"/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86" w:name="_Toc3300"/>
      <w:bookmarkStart w:id="87" w:name="_Toc80627369"/>
      <w:bookmarkStart w:id="88" w:name="_Toc80627275"/>
      <w:bookmarkStart w:id="89" w:name="_Toc10266"/>
      <w:r>
        <w:rPr>
          <w:rFonts w:hint="eastAsia" w:ascii="楷体_GB2312" w:eastAsia="楷体_GB2312" w:hAnsiTheme="minorHAnsi" w:cstheme="minorBidi"/>
          <w:kern w:val="2"/>
          <w:szCs w:val="22"/>
        </w:rPr>
        <w:t>（一）分行业门类企业人均人工成本</w:t>
      </w:r>
      <w:bookmarkEnd w:id="86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市分行业门类企业人均人工成本（202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87"/>
      <w:bookmarkEnd w:id="88"/>
      <w:bookmarkEnd w:id="89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单位：万元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792"/>
        <w:gridCol w:w="902"/>
        <w:gridCol w:w="902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行业门类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水利环境和公共设施管理业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12.26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90" w:name="_Toc6381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二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制造业大类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企业人均人工成本</w:t>
      </w:r>
      <w:bookmarkEnd w:id="90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制造业大类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企业人均人工成本（202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单位：万元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80"/>
        <w:gridCol w:w="880"/>
        <w:gridCol w:w="880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制造业大类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印刷和记录媒介复制业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文教、工美、体育和娱乐用品制造业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13.72 </w:t>
            </w:r>
          </w:p>
        </w:tc>
      </w:tr>
    </w:tbl>
    <w:p/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91" w:name="_Toc5254"/>
      <w:bookmarkStart w:id="92" w:name="_Toc80627370"/>
      <w:bookmarkStart w:id="93" w:name="_Toc14325"/>
      <w:bookmarkStart w:id="94" w:name="_Toc80627276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三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）分登记注册类型企业人均人工成本</w:t>
      </w:r>
      <w:bookmarkEnd w:id="91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登记注册类型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企业人均人工成本（202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bookmarkEnd w:id="92"/>
    <w:bookmarkEnd w:id="93"/>
    <w:bookmarkEnd w:id="94"/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单位：万元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13"/>
        <w:gridCol w:w="813"/>
        <w:gridCol w:w="925"/>
        <w:gridCol w:w="925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95" w:name="_Toc77776567"/>
            <w:bookmarkStart w:id="96" w:name="_Toc80627279"/>
            <w:bookmarkStart w:id="97" w:name="_Toc8062737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国有企业（不含国有独资公司）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有限责任公司（含国有独资公司）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合资经营企业（港或澳、台资）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港、澳、台商独资经营企业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中外合资经营企业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20.17 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98" w:name="_Toc28818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四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企业规模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企业人均人工成本</w:t>
      </w:r>
      <w:bookmarkEnd w:id="98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企业规模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企业人均人工成本（202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单位：万元</w:t>
      </w:r>
    </w:p>
    <w:tbl>
      <w:tblPr>
        <w:tblStyle w:val="16"/>
        <w:tblW w:w="9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170"/>
        <w:gridCol w:w="834"/>
        <w:gridCol w:w="834"/>
        <w:gridCol w:w="834"/>
        <w:gridCol w:w="949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4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分位值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13.16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99" w:name="_Toc9751"/>
      <w:bookmarkStart w:id="100" w:name="_Toc107219150"/>
      <w:r>
        <w:rPr>
          <w:rFonts w:hint="eastAsia" w:ascii="黑体" w:hAnsi="黑体" w:eastAsia="黑体"/>
          <w:b/>
        </w:rPr>
        <w:t>二、企业人工成本构成</w:t>
      </w:r>
      <w:bookmarkEnd w:id="95"/>
      <w:bookmarkEnd w:id="96"/>
      <w:bookmarkEnd w:id="97"/>
      <w:bookmarkEnd w:id="99"/>
      <w:bookmarkEnd w:id="100"/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01" w:name="_Toc17917"/>
      <w:bookmarkStart w:id="102" w:name="_Toc80627280"/>
      <w:bookmarkStart w:id="103" w:name="_Toc80627374"/>
      <w:bookmarkStart w:id="104" w:name="_Toc18454"/>
      <w:r>
        <w:rPr>
          <w:rFonts w:hint="eastAsia" w:ascii="楷体_GB2312" w:eastAsia="楷体_GB2312" w:hAnsiTheme="minorHAnsi" w:cstheme="minorBidi"/>
          <w:kern w:val="2"/>
          <w:szCs w:val="22"/>
        </w:rPr>
        <w:t>（一）分行业门类企业人工成本构成</w:t>
      </w:r>
      <w:bookmarkEnd w:id="101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市分行业门类企业人工成本构成（202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102"/>
      <w:bookmarkEnd w:id="103"/>
      <w:bookmarkEnd w:id="104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416"/>
        <w:gridCol w:w="766"/>
        <w:gridCol w:w="753"/>
        <w:gridCol w:w="753"/>
        <w:gridCol w:w="766"/>
        <w:gridCol w:w="753"/>
        <w:gridCol w:w="753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05" w:name="_Toc80627281"/>
            <w:bookmarkStart w:id="106" w:name="_Toc28670"/>
            <w:bookmarkStart w:id="107" w:name="_Toc80627375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行业门类</w:t>
            </w:r>
          </w:p>
        </w:tc>
        <w:tc>
          <w:tcPr>
            <w:tcW w:w="5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人工成本构成（合计=100）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从业人员工资总额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其他人工成本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水利环境和公共设施管理业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08" w:name="_Toc3225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二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制造业大类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企业人工成本构成</w:t>
      </w:r>
      <w:bookmarkEnd w:id="108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制造业大类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企业人工成本构成（202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416"/>
        <w:gridCol w:w="766"/>
        <w:gridCol w:w="753"/>
        <w:gridCol w:w="753"/>
        <w:gridCol w:w="766"/>
        <w:gridCol w:w="753"/>
        <w:gridCol w:w="753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制造业大类</w:t>
            </w:r>
          </w:p>
        </w:tc>
        <w:tc>
          <w:tcPr>
            <w:tcW w:w="5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人工成本构成（合计=100）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从业人员工资总额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其他人工成本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印刷和记录媒介复制业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文教、工美、体育和娱乐用品制造业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09" w:name="_Toc20173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三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）分登记注册类型企业人工成本构成</w:t>
      </w:r>
      <w:bookmarkEnd w:id="109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市分登记注册类型企业人工成本构成（202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bookmarkEnd w:id="105"/>
    <w:bookmarkEnd w:id="106"/>
    <w:bookmarkEnd w:id="107"/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239"/>
        <w:gridCol w:w="781"/>
        <w:gridCol w:w="780"/>
        <w:gridCol w:w="780"/>
        <w:gridCol w:w="781"/>
        <w:gridCol w:w="780"/>
        <w:gridCol w:w="78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10" w:name="_Toc80627378"/>
            <w:bookmarkStart w:id="111" w:name="_Toc77776568"/>
            <w:bookmarkStart w:id="112" w:name="_Toc80627284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5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人工成本构成（合计=100）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从业人员工资总额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其他人工成本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国有企业（不含国有独资公司）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有限责任公司（含国有独资公司）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合资经营企业（港或澳、台资）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港、澳、台商独资经营企业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中外合资经营企业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3.81 </w:t>
            </w:r>
          </w:p>
        </w:tc>
      </w:tr>
    </w:tbl>
    <w:p/>
    <w:p/>
    <w:p/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13" w:name="_Toc27467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四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企业规模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企业人工成本构成</w:t>
      </w:r>
      <w:bookmarkEnd w:id="113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企业规模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企业人工成本构成（202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234"/>
        <w:gridCol w:w="781"/>
        <w:gridCol w:w="781"/>
        <w:gridCol w:w="781"/>
        <w:gridCol w:w="781"/>
        <w:gridCol w:w="781"/>
        <w:gridCol w:w="781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5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人工成本构成（合计=100）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从业人员工资总额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住房费用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其他人工成本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1.16 </w:t>
            </w:r>
          </w:p>
        </w:tc>
      </w:tr>
    </w:tbl>
    <w:p/>
    <w:p>
      <w:pPr>
        <w:pStyle w:val="3"/>
        <w:spacing w:before="240"/>
        <w:jc w:val="both"/>
        <w:rPr>
          <w:rFonts w:hint="eastAsia" w:ascii="黑体" w:hAnsi="黑体" w:eastAsia="黑体"/>
          <w:b/>
        </w:rPr>
      </w:pPr>
      <w:bookmarkStart w:id="114" w:name="_Toc107219151"/>
      <w:bookmarkStart w:id="115" w:name="_Toc15605"/>
      <w:r>
        <w:rPr>
          <w:rFonts w:hint="eastAsia" w:ascii="黑体" w:hAnsi="黑体" w:eastAsia="黑体"/>
          <w:b/>
        </w:rPr>
        <w:t>三、企业人工成本效益</w:t>
      </w:r>
      <w:bookmarkEnd w:id="110"/>
      <w:bookmarkEnd w:id="111"/>
      <w:bookmarkEnd w:id="112"/>
      <w:bookmarkEnd w:id="114"/>
      <w:bookmarkEnd w:id="115"/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16" w:name="_Toc8505"/>
      <w:bookmarkStart w:id="117" w:name="_Toc80627379"/>
      <w:bookmarkStart w:id="118" w:name="_Toc80627285"/>
      <w:bookmarkStart w:id="119" w:name="_Toc3509"/>
      <w:r>
        <w:rPr>
          <w:rFonts w:hint="eastAsia" w:ascii="楷体_GB2312" w:eastAsia="楷体_GB2312" w:hAnsiTheme="minorHAnsi" w:cstheme="minorBidi"/>
          <w:kern w:val="2"/>
          <w:szCs w:val="22"/>
        </w:rPr>
        <w:t>（一）分行业门类企业人工成本效益</w:t>
      </w:r>
      <w:bookmarkEnd w:id="116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市分行业门类企业人工成本效益（202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117"/>
      <w:bookmarkEnd w:id="118"/>
      <w:bookmarkEnd w:id="119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625"/>
        <w:gridCol w:w="1612"/>
        <w:gridCol w:w="1612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行业门类</w:t>
            </w:r>
          </w:p>
        </w:tc>
        <w:tc>
          <w:tcPr>
            <w:tcW w:w="4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人工成本占总成本比重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人事费用率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人工成本利润率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水利环境和公共设施管理业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-51.95 </w:t>
            </w:r>
          </w:p>
        </w:tc>
      </w:tr>
    </w:tbl>
    <w:p>
      <w:pPr>
        <w:jc w:val="right"/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20" w:name="_Toc15504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二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制造业大类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企业人工成本效益</w:t>
      </w:r>
      <w:bookmarkEnd w:id="120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制造业大类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企业人工成本效益（202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625"/>
        <w:gridCol w:w="1612"/>
        <w:gridCol w:w="1612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制造业大类</w:t>
            </w:r>
          </w:p>
        </w:tc>
        <w:tc>
          <w:tcPr>
            <w:tcW w:w="4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人工成本占总成本比重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人事费用率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人工成本利润率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印刷和记录媒介复制业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文教、工美、体育和娱乐用品制造业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</w:tr>
    </w:tbl>
    <w:p>
      <w:pPr>
        <w:jc w:val="right"/>
      </w:pPr>
    </w:p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21" w:name="_Toc22098"/>
      <w:bookmarkStart w:id="122" w:name="_Toc20993"/>
      <w:bookmarkStart w:id="123" w:name="_Toc80627380"/>
      <w:bookmarkStart w:id="124" w:name="_Toc80627286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三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）分登记注册类型企业人工成本效益</w:t>
      </w:r>
      <w:bookmarkEnd w:id="121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市分登记注册类型企业人工成本效益（202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bookmarkEnd w:id="122"/>
      <w:bookmarkEnd w:id="123"/>
      <w:bookmarkEnd w:id="124"/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624"/>
        <w:gridCol w:w="1612"/>
        <w:gridCol w:w="1612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4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人工成本占总成本比重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人事费用率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人工成本利润率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国有企业（不含国有独资公司）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有限责任公司（含国有独资公司）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其他内资企业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合资经营企业（港或澳、台资）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港、澳、台商独资经营企业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中外合资经营企业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15.24 </w:t>
            </w:r>
          </w:p>
        </w:tc>
      </w:tr>
    </w:tbl>
    <w:p/>
    <w:p>
      <w:pPr>
        <w:pStyle w:val="4"/>
        <w:widowControl w:val="0"/>
        <w:spacing w:after="240"/>
        <w:jc w:val="both"/>
        <w:rPr>
          <w:rFonts w:hint="eastAsia" w:ascii="楷体_GB2312" w:eastAsia="楷体_GB2312" w:hAnsiTheme="minorHAnsi" w:cstheme="minorBidi"/>
          <w:kern w:val="2"/>
          <w:szCs w:val="22"/>
        </w:rPr>
      </w:pPr>
      <w:bookmarkStart w:id="125" w:name="_Toc14633"/>
      <w:r>
        <w:rPr>
          <w:rFonts w:hint="eastAsia" w:ascii="楷体_GB2312" w:eastAsia="楷体_GB2312" w:hAnsiTheme="minorHAnsi" w:cstheme="minorBidi"/>
          <w:kern w:val="2"/>
          <w:szCs w:val="22"/>
        </w:rPr>
        <w:t>（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四</w:t>
      </w:r>
      <w:r>
        <w:rPr>
          <w:rFonts w:hint="eastAsia" w:ascii="楷体_GB2312" w:eastAsia="楷体_GB2312" w:hAnsiTheme="minorHAnsi" w:cstheme="minorBidi"/>
          <w:kern w:val="2"/>
          <w:szCs w:val="22"/>
        </w:rPr>
        <w:t>）分</w:t>
      </w:r>
      <w:r>
        <w:rPr>
          <w:rFonts w:hint="eastAsia" w:ascii="楷体_GB2312" w:eastAsia="楷体_GB2312" w:hAnsiTheme="minorHAnsi" w:cstheme="minorBidi"/>
          <w:kern w:val="2"/>
          <w:szCs w:val="22"/>
          <w:lang w:val="en-US" w:eastAsia="zh-CN"/>
        </w:rPr>
        <w:t>企业规模</w:t>
      </w:r>
      <w:r>
        <w:rPr>
          <w:rFonts w:hint="eastAsia" w:ascii="楷体_GB2312" w:eastAsia="楷体_GB2312" w:hAnsiTheme="minorHAnsi" w:cstheme="minorBidi"/>
          <w:kern w:val="2"/>
          <w:szCs w:val="22"/>
        </w:rPr>
        <w:t>企业人工成本效益</w:t>
      </w:r>
      <w:bookmarkEnd w:id="125"/>
    </w:p>
    <w:p>
      <w:pPr>
        <w:keepNext/>
        <w:keepLines/>
        <w:widowControl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绍兴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企业规模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企业人工成本效益（202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单位：%</w:t>
      </w:r>
    </w:p>
    <w:tbl>
      <w:tblPr>
        <w:tblStyle w:val="16"/>
        <w:tblW w:w="92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622"/>
        <w:gridCol w:w="1613"/>
        <w:gridCol w:w="1613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4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人工成本占总成本比重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人事费用率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人工成本利润率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21.21 </w:t>
            </w:r>
          </w:p>
        </w:tc>
      </w:tr>
    </w:tbl>
    <w:p/>
    <w:sectPr>
      <w:pgSz w:w="11906" w:h="16838"/>
      <w:pgMar w:top="1701" w:right="141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75162"/>
    </w:sdtPr>
    <w:sdtContent>
      <w:p>
        <w:pPr>
          <w:pStyle w:val="10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40"/>
  <w:drawingGridVerticalSpacing w:val="435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5643F1"/>
    <w:rsid w:val="00006689"/>
    <w:rsid w:val="000072E8"/>
    <w:rsid w:val="00013963"/>
    <w:rsid w:val="00014D10"/>
    <w:rsid w:val="00033336"/>
    <w:rsid w:val="000356BB"/>
    <w:rsid w:val="000403F4"/>
    <w:rsid w:val="0004164E"/>
    <w:rsid w:val="00060A73"/>
    <w:rsid w:val="00070AD1"/>
    <w:rsid w:val="00073AE1"/>
    <w:rsid w:val="00083CC8"/>
    <w:rsid w:val="00084B8D"/>
    <w:rsid w:val="00085BCD"/>
    <w:rsid w:val="00090C69"/>
    <w:rsid w:val="0009543E"/>
    <w:rsid w:val="000B1ACD"/>
    <w:rsid w:val="000B1BEA"/>
    <w:rsid w:val="000B7638"/>
    <w:rsid w:val="000D0876"/>
    <w:rsid w:val="000D206F"/>
    <w:rsid w:val="000D2B08"/>
    <w:rsid w:val="000F00E7"/>
    <w:rsid w:val="000F7001"/>
    <w:rsid w:val="000F75C5"/>
    <w:rsid w:val="00101AD6"/>
    <w:rsid w:val="00123450"/>
    <w:rsid w:val="00132C1F"/>
    <w:rsid w:val="00136F07"/>
    <w:rsid w:val="001374C6"/>
    <w:rsid w:val="0017033F"/>
    <w:rsid w:val="001865C3"/>
    <w:rsid w:val="0018780C"/>
    <w:rsid w:val="001878E0"/>
    <w:rsid w:val="0019011B"/>
    <w:rsid w:val="001B2226"/>
    <w:rsid w:val="001B2522"/>
    <w:rsid w:val="001B277F"/>
    <w:rsid w:val="001B5C37"/>
    <w:rsid w:val="001C327D"/>
    <w:rsid w:val="001C4ED9"/>
    <w:rsid w:val="001C7136"/>
    <w:rsid w:val="001D1F9C"/>
    <w:rsid w:val="001D37F1"/>
    <w:rsid w:val="001E1588"/>
    <w:rsid w:val="001E31A9"/>
    <w:rsid w:val="001F2373"/>
    <w:rsid w:val="001F4CB9"/>
    <w:rsid w:val="00200D0B"/>
    <w:rsid w:val="00203B86"/>
    <w:rsid w:val="00216089"/>
    <w:rsid w:val="002654D1"/>
    <w:rsid w:val="0028072D"/>
    <w:rsid w:val="00290400"/>
    <w:rsid w:val="002952E7"/>
    <w:rsid w:val="00297A04"/>
    <w:rsid w:val="002A3A71"/>
    <w:rsid w:val="002C170A"/>
    <w:rsid w:val="002C3EAF"/>
    <w:rsid w:val="002C4501"/>
    <w:rsid w:val="002D70A7"/>
    <w:rsid w:val="002F3C8E"/>
    <w:rsid w:val="002F4DCC"/>
    <w:rsid w:val="003212B5"/>
    <w:rsid w:val="003335D6"/>
    <w:rsid w:val="00355E4E"/>
    <w:rsid w:val="00357A7B"/>
    <w:rsid w:val="00374911"/>
    <w:rsid w:val="0037496E"/>
    <w:rsid w:val="003771A4"/>
    <w:rsid w:val="003836A4"/>
    <w:rsid w:val="00384111"/>
    <w:rsid w:val="003911D8"/>
    <w:rsid w:val="003A00CE"/>
    <w:rsid w:val="003A486B"/>
    <w:rsid w:val="003A7071"/>
    <w:rsid w:val="003C396B"/>
    <w:rsid w:val="003C3F34"/>
    <w:rsid w:val="003D17DB"/>
    <w:rsid w:val="003D29A1"/>
    <w:rsid w:val="003E65A1"/>
    <w:rsid w:val="003F29D7"/>
    <w:rsid w:val="003F540C"/>
    <w:rsid w:val="00401E11"/>
    <w:rsid w:val="00401FD4"/>
    <w:rsid w:val="0040302A"/>
    <w:rsid w:val="0041027B"/>
    <w:rsid w:val="00416F93"/>
    <w:rsid w:val="00436CFE"/>
    <w:rsid w:val="00437C26"/>
    <w:rsid w:val="00445BAB"/>
    <w:rsid w:val="00455A9B"/>
    <w:rsid w:val="00456EFB"/>
    <w:rsid w:val="00457B56"/>
    <w:rsid w:val="004664CB"/>
    <w:rsid w:val="00473131"/>
    <w:rsid w:val="00490F72"/>
    <w:rsid w:val="00495A68"/>
    <w:rsid w:val="0049633A"/>
    <w:rsid w:val="004A44AE"/>
    <w:rsid w:val="004B0E1D"/>
    <w:rsid w:val="004B23A4"/>
    <w:rsid w:val="004D1058"/>
    <w:rsid w:val="004E78CD"/>
    <w:rsid w:val="004E78DA"/>
    <w:rsid w:val="004F6D9F"/>
    <w:rsid w:val="0050099E"/>
    <w:rsid w:val="005145EB"/>
    <w:rsid w:val="005166CD"/>
    <w:rsid w:val="005206E0"/>
    <w:rsid w:val="0053794C"/>
    <w:rsid w:val="005643F1"/>
    <w:rsid w:val="005657BF"/>
    <w:rsid w:val="00583590"/>
    <w:rsid w:val="00586F03"/>
    <w:rsid w:val="00587A0A"/>
    <w:rsid w:val="00593643"/>
    <w:rsid w:val="005A4DB5"/>
    <w:rsid w:val="005B1D0B"/>
    <w:rsid w:val="005B2BCE"/>
    <w:rsid w:val="005C307B"/>
    <w:rsid w:val="005D1A2A"/>
    <w:rsid w:val="005F2F24"/>
    <w:rsid w:val="005F5108"/>
    <w:rsid w:val="006049B1"/>
    <w:rsid w:val="00612675"/>
    <w:rsid w:val="00622D12"/>
    <w:rsid w:val="00635403"/>
    <w:rsid w:val="00662CF3"/>
    <w:rsid w:val="00675C04"/>
    <w:rsid w:val="00680E41"/>
    <w:rsid w:val="006846B2"/>
    <w:rsid w:val="00685404"/>
    <w:rsid w:val="006963B3"/>
    <w:rsid w:val="00696FE4"/>
    <w:rsid w:val="006A7EAD"/>
    <w:rsid w:val="006B2626"/>
    <w:rsid w:val="006C365A"/>
    <w:rsid w:val="006D1A82"/>
    <w:rsid w:val="006D67F7"/>
    <w:rsid w:val="00703A3F"/>
    <w:rsid w:val="00710694"/>
    <w:rsid w:val="00717610"/>
    <w:rsid w:val="007355E8"/>
    <w:rsid w:val="00744C9E"/>
    <w:rsid w:val="00753872"/>
    <w:rsid w:val="00757005"/>
    <w:rsid w:val="00784776"/>
    <w:rsid w:val="007A056B"/>
    <w:rsid w:val="007A4652"/>
    <w:rsid w:val="007A51B4"/>
    <w:rsid w:val="007B3CD8"/>
    <w:rsid w:val="007C1747"/>
    <w:rsid w:val="007C6565"/>
    <w:rsid w:val="007D1E3A"/>
    <w:rsid w:val="007D40AF"/>
    <w:rsid w:val="007E093B"/>
    <w:rsid w:val="007E0A25"/>
    <w:rsid w:val="007F0089"/>
    <w:rsid w:val="00802F74"/>
    <w:rsid w:val="0080331E"/>
    <w:rsid w:val="00823535"/>
    <w:rsid w:val="008272F5"/>
    <w:rsid w:val="008305CE"/>
    <w:rsid w:val="00851C9C"/>
    <w:rsid w:val="00861E7B"/>
    <w:rsid w:val="00863F5C"/>
    <w:rsid w:val="00867B17"/>
    <w:rsid w:val="00885E5F"/>
    <w:rsid w:val="0089655E"/>
    <w:rsid w:val="008C2B74"/>
    <w:rsid w:val="008D72AB"/>
    <w:rsid w:val="008D7A5D"/>
    <w:rsid w:val="008E1C9C"/>
    <w:rsid w:val="008F1DD3"/>
    <w:rsid w:val="008F72EE"/>
    <w:rsid w:val="00913BB5"/>
    <w:rsid w:val="0091612A"/>
    <w:rsid w:val="0092723C"/>
    <w:rsid w:val="00927C59"/>
    <w:rsid w:val="0093258C"/>
    <w:rsid w:val="00935D93"/>
    <w:rsid w:val="009415F1"/>
    <w:rsid w:val="00951AB3"/>
    <w:rsid w:val="00960615"/>
    <w:rsid w:val="009855DA"/>
    <w:rsid w:val="009870EA"/>
    <w:rsid w:val="00994108"/>
    <w:rsid w:val="009A0E0F"/>
    <w:rsid w:val="009A19E3"/>
    <w:rsid w:val="009B4C82"/>
    <w:rsid w:val="009B6A83"/>
    <w:rsid w:val="009B764B"/>
    <w:rsid w:val="009C0BDB"/>
    <w:rsid w:val="009C1CFA"/>
    <w:rsid w:val="009D3295"/>
    <w:rsid w:val="009F1DBD"/>
    <w:rsid w:val="00A03ED2"/>
    <w:rsid w:val="00A1429F"/>
    <w:rsid w:val="00A245F1"/>
    <w:rsid w:val="00A27549"/>
    <w:rsid w:val="00A43FA4"/>
    <w:rsid w:val="00A44F11"/>
    <w:rsid w:val="00A47ECF"/>
    <w:rsid w:val="00A51ED6"/>
    <w:rsid w:val="00A52AE0"/>
    <w:rsid w:val="00A52C29"/>
    <w:rsid w:val="00A70FA7"/>
    <w:rsid w:val="00A7267F"/>
    <w:rsid w:val="00A85E0A"/>
    <w:rsid w:val="00AA06E5"/>
    <w:rsid w:val="00AA12EA"/>
    <w:rsid w:val="00AB6E80"/>
    <w:rsid w:val="00AC28D8"/>
    <w:rsid w:val="00AC3FB4"/>
    <w:rsid w:val="00AC4F4C"/>
    <w:rsid w:val="00AD0E0A"/>
    <w:rsid w:val="00AD7E57"/>
    <w:rsid w:val="00AE7AD0"/>
    <w:rsid w:val="00B01D36"/>
    <w:rsid w:val="00B023CE"/>
    <w:rsid w:val="00B05B26"/>
    <w:rsid w:val="00B21689"/>
    <w:rsid w:val="00B421A4"/>
    <w:rsid w:val="00B45C76"/>
    <w:rsid w:val="00B62687"/>
    <w:rsid w:val="00B63F70"/>
    <w:rsid w:val="00B6472C"/>
    <w:rsid w:val="00B67D9E"/>
    <w:rsid w:val="00B769CC"/>
    <w:rsid w:val="00B82032"/>
    <w:rsid w:val="00B83A83"/>
    <w:rsid w:val="00B8770F"/>
    <w:rsid w:val="00B92EBB"/>
    <w:rsid w:val="00B94612"/>
    <w:rsid w:val="00BA4E38"/>
    <w:rsid w:val="00BA6B36"/>
    <w:rsid w:val="00BB0140"/>
    <w:rsid w:val="00BB511B"/>
    <w:rsid w:val="00BC6131"/>
    <w:rsid w:val="00BE4E22"/>
    <w:rsid w:val="00BF3FEF"/>
    <w:rsid w:val="00BF46EF"/>
    <w:rsid w:val="00C02935"/>
    <w:rsid w:val="00C12BB3"/>
    <w:rsid w:val="00C134A1"/>
    <w:rsid w:val="00C2055E"/>
    <w:rsid w:val="00C337A9"/>
    <w:rsid w:val="00C405A7"/>
    <w:rsid w:val="00C414CC"/>
    <w:rsid w:val="00C47BB5"/>
    <w:rsid w:val="00C53C40"/>
    <w:rsid w:val="00C668AE"/>
    <w:rsid w:val="00C66A49"/>
    <w:rsid w:val="00CA0222"/>
    <w:rsid w:val="00CA1D85"/>
    <w:rsid w:val="00CA3BD8"/>
    <w:rsid w:val="00CB2CE6"/>
    <w:rsid w:val="00CB74A2"/>
    <w:rsid w:val="00CD53F6"/>
    <w:rsid w:val="00CE4555"/>
    <w:rsid w:val="00CF247F"/>
    <w:rsid w:val="00CF5452"/>
    <w:rsid w:val="00D028AC"/>
    <w:rsid w:val="00D055B5"/>
    <w:rsid w:val="00D0740F"/>
    <w:rsid w:val="00D164D1"/>
    <w:rsid w:val="00D2016C"/>
    <w:rsid w:val="00D22D19"/>
    <w:rsid w:val="00D24BBA"/>
    <w:rsid w:val="00D277CB"/>
    <w:rsid w:val="00D30731"/>
    <w:rsid w:val="00D318E0"/>
    <w:rsid w:val="00D423BB"/>
    <w:rsid w:val="00D62971"/>
    <w:rsid w:val="00D761D6"/>
    <w:rsid w:val="00D76E26"/>
    <w:rsid w:val="00D77C6D"/>
    <w:rsid w:val="00D93009"/>
    <w:rsid w:val="00DA28EA"/>
    <w:rsid w:val="00DB14A9"/>
    <w:rsid w:val="00DD2EB5"/>
    <w:rsid w:val="00DD3F92"/>
    <w:rsid w:val="00DD5314"/>
    <w:rsid w:val="00DD5FA0"/>
    <w:rsid w:val="00DE77D6"/>
    <w:rsid w:val="00DF4F3F"/>
    <w:rsid w:val="00E06D0F"/>
    <w:rsid w:val="00E21F7B"/>
    <w:rsid w:val="00E34874"/>
    <w:rsid w:val="00E5490D"/>
    <w:rsid w:val="00E65714"/>
    <w:rsid w:val="00E67848"/>
    <w:rsid w:val="00E84FD0"/>
    <w:rsid w:val="00E92527"/>
    <w:rsid w:val="00E95948"/>
    <w:rsid w:val="00E97836"/>
    <w:rsid w:val="00EA190E"/>
    <w:rsid w:val="00EA4EFA"/>
    <w:rsid w:val="00EA4F15"/>
    <w:rsid w:val="00EA7AAB"/>
    <w:rsid w:val="00EC1C3D"/>
    <w:rsid w:val="00EC3F93"/>
    <w:rsid w:val="00EE2D61"/>
    <w:rsid w:val="00EE7069"/>
    <w:rsid w:val="00F02561"/>
    <w:rsid w:val="00F14F14"/>
    <w:rsid w:val="00F4637E"/>
    <w:rsid w:val="00F60755"/>
    <w:rsid w:val="00F70856"/>
    <w:rsid w:val="00F7586C"/>
    <w:rsid w:val="00F75FC5"/>
    <w:rsid w:val="00F767EF"/>
    <w:rsid w:val="00F90897"/>
    <w:rsid w:val="00FA2FD7"/>
    <w:rsid w:val="00FE4443"/>
    <w:rsid w:val="010D0689"/>
    <w:rsid w:val="02B54036"/>
    <w:rsid w:val="02DB3378"/>
    <w:rsid w:val="031D2CC0"/>
    <w:rsid w:val="03CA6453"/>
    <w:rsid w:val="046232B5"/>
    <w:rsid w:val="058A7F92"/>
    <w:rsid w:val="05F30738"/>
    <w:rsid w:val="066761DB"/>
    <w:rsid w:val="06A77F7F"/>
    <w:rsid w:val="06FC430B"/>
    <w:rsid w:val="070C2530"/>
    <w:rsid w:val="08B14DEA"/>
    <w:rsid w:val="08BA1AD5"/>
    <w:rsid w:val="08D94642"/>
    <w:rsid w:val="09DF1358"/>
    <w:rsid w:val="0A8C6210"/>
    <w:rsid w:val="0AC919A5"/>
    <w:rsid w:val="0AE0387E"/>
    <w:rsid w:val="0B0815FA"/>
    <w:rsid w:val="0C0660EA"/>
    <w:rsid w:val="0C420B41"/>
    <w:rsid w:val="0C7C6B53"/>
    <w:rsid w:val="0CCB7E6D"/>
    <w:rsid w:val="0D0B2B2A"/>
    <w:rsid w:val="0DF465A6"/>
    <w:rsid w:val="0E30455B"/>
    <w:rsid w:val="0E8A27EC"/>
    <w:rsid w:val="0F1A0172"/>
    <w:rsid w:val="0FF36C07"/>
    <w:rsid w:val="10274FA8"/>
    <w:rsid w:val="10B12A65"/>
    <w:rsid w:val="120B2110"/>
    <w:rsid w:val="12463E32"/>
    <w:rsid w:val="125F355A"/>
    <w:rsid w:val="13DF0B38"/>
    <w:rsid w:val="154353CC"/>
    <w:rsid w:val="15496483"/>
    <w:rsid w:val="15996B6D"/>
    <w:rsid w:val="16493E8F"/>
    <w:rsid w:val="16CF2E18"/>
    <w:rsid w:val="181A358A"/>
    <w:rsid w:val="181B2126"/>
    <w:rsid w:val="189C0949"/>
    <w:rsid w:val="18B3705E"/>
    <w:rsid w:val="18FF0305"/>
    <w:rsid w:val="1980446A"/>
    <w:rsid w:val="1A4B0EF3"/>
    <w:rsid w:val="1A6953C2"/>
    <w:rsid w:val="1B561B37"/>
    <w:rsid w:val="1BC33A5C"/>
    <w:rsid w:val="1BCC58EC"/>
    <w:rsid w:val="1D0D7C56"/>
    <w:rsid w:val="1D28626C"/>
    <w:rsid w:val="1DD5401E"/>
    <w:rsid w:val="1E893BB9"/>
    <w:rsid w:val="1EE263DA"/>
    <w:rsid w:val="1FE65F6B"/>
    <w:rsid w:val="21224D81"/>
    <w:rsid w:val="21FF3314"/>
    <w:rsid w:val="22A55C69"/>
    <w:rsid w:val="23C07A6D"/>
    <w:rsid w:val="252D6A35"/>
    <w:rsid w:val="27364D6D"/>
    <w:rsid w:val="27F51441"/>
    <w:rsid w:val="299B516E"/>
    <w:rsid w:val="2A62470E"/>
    <w:rsid w:val="2AD358E4"/>
    <w:rsid w:val="2CA13945"/>
    <w:rsid w:val="2CAF75EC"/>
    <w:rsid w:val="2D5026CD"/>
    <w:rsid w:val="2DD41EB0"/>
    <w:rsid w:val="2E490E39"/>
    <w:rsid w:val="2EA01FC0"/>
    <w:rsid w:val="2F1F2B17"/>
    <w:rsid w:val="2FC97716"/>
    <w:rsid w:val="30B65658"/>
    <w:rsid w:val="30D13E9A"/>
    <w:rsid w:val="30ED54CE"/>
    <w:rsid w:val="31513C93"/>
    <w:rsid w:val="31CA57D5"/>
    <w:rsid w:val="328D1825"/>
    <w:rsid w:val="32AD4743"/>
    <w:rsid w:val="345F202C"/>
    <w:rsid w:val="3486345F"/>
    <w:rsid w:val="35950FB1"/>
    <w:rsid w:val="35FB550C"/>
    <w:rsid w:val="38281AA4"/>
    <w:rsid w:val="38B4055C"/>
    <w:rsid w:val="397D1296"/>
    <w:rsid w:val="39B12CEE"/>
    <w:rsid w:val="39EC3979"/>
    <w:rsid w:val="3A462743"/>
    <w:rsid w:val="3B023801"/>
    <w:rsid w:val="3C2217BD"/>
    <w:rsid w:val="3C972DC7"/>
    <w:rsid w:val="3E4B67DB"/>
    <w:rsid w:val="3F762F0D"/>
    <w:rsid w:val="3FF251A9"/>
    <w:rsid w:val="403A1181"/>
    <w:rsid w:val="40E56788"/>
    <w:rsid w:val="412A2204"/>
    <w:rsid w:val="41405083"/>
    <w:rsid w:val="421F113C"/>
    <w:rsid w:val="42646E38"/>
    <w:rsid w:val="426771C5"/>
    <w:rsid w:val="436C4C38"/>
    <w:rsid w:val="43F263DD"/>
    <w:rsid w:val="45867831"/>
    <w:rsid w:val="458B5135"/>
    <w:rsid w:val="45A4228A"/>
    <w:rsid w:val="46564629"/>
    <w:rsid w:val="46E44703"/>
    <w:rsid w:val="47462CC7"/>
    <w:rsid w:val="490D02B0"/>
    <w:rsid w:val="495D05C6"/>
    <w:rsid w:val="4972736E"/>
    <w:rsid w:val="49B929F6"/>
    <w:rsid w:val="4AB17408"/>
    <w:rsid w:val="4AD70320"/>
    <w:rsid w:val="4B0E7738"/>
    <w:rsid w:val="4B6C2A6E"/>
    <w:rsid w:val="4BF74ED8"/>
    <w:rsid w:val="4C1A1042"/>
    <w:rsid w:val="4C293071"/>
    <w:rsid w:val="4CE1714D"/>
    <w:rsid w:val="4DCA5C07"/>
    <w:rsid w:val="4F506DD9"/>
    <w:rsid w:val="508339D1"/>
    <w:rsid w:val="50AE1253"/>
    <w:rsid w:val="51361865"/>
    <w:rsid w:val="518D173F"/>
    <w:rsid w:val="51F272C7"/>
    <w:rsid w:val="51F63F1B"/>
    <w:rsid w:val="520A7E36"/>
    <w:rsid w:val="523B65AD"/>
    <w:rsid w:val="53692108"/>
    <w:rsid w:val="53EC109A"/>
    <w:rsid w:val="5452524E"/>
    <w:rsid w:val="56170651"/>
    <w:rsid w:val="57310D0E"/>
    <w:rsid w:val="573238E5"/>
    <w:rsid w:val="57FF1DF3"/>
    <w:rsid w:val="58A25934"/>
    <w:rsid w:val="59557213"/>
    <w:rsid w:val="59702CF9"/>
    <w:rsid w:val="59BF10FF"/>
    <w:rsid w:val="5A4F4EE1"/>
    <w:rsid w:val="5AB371D6"/>
    <w:rsid w:val="5AC9020D"/>
    <w:rsid w:val="5BDE5F4A"/>
    <w:rsid w:val="5C3B671B"/>
    <w:rsid w:val="5D811AED"/>
    <w:rsid w:val="60251BBC"/>
    <w:rsid w:val="60FF043A"/>
    <w:rsid w:val="61162370"/>
    <w:rsid w:val="617B7D81"/>
    <w:rsid w:val="62EC209B"/>
    <w:rsid w:val="63676048"/>
    <w:rsid w:val="63711309"/>
    <w:rsid w:val="64EA68D9"/>
    <w:rsid w:val="65060F78"/>
    <w:rsid w:val="654E1AA4"/>
    <w:rsid w:val="65F84BEE"/>
    <w:rsid w:val="660B715E"/>
    <w:rsid w:val="671A7B04"/>
    <w:rsid w:val="67C864C2"/>
    <w:rsid w:val="67D16B92"/>
    <w:rsid w:val="68522DA9"/>
    <w:rsid w:val="68F97926"/>
    <w:rsid w:val="69AF0748"/>
    <w:rsid w:val="69B8584F"/>
    <w:rsid w:val="6A60749A"/>
    <w:rsid w:val="6A742892"/>
    <w:rsid w:val="6A8C7C32"/>
    <w:rsid w:val="6ACB3E37"/>
    <w:rsid w:val="6B0E56ED"/>
    <w:rsid w:val="6B200306"/>
    <w:rsid w:val="6B2E68C0"/>
    <w:rsid w:val="6C4C227F"/>
    <w:rsid w:val="6C520073"/>
    <w:rsid w:val="6C8123B9"/>
    <w:rsid w:val="6C857302"/>
    <w:rsid w:val="6CA37787"/>
    <w:rsid w:val="6D3F0E84"/>
    <w:rsid w:val="6EBF142E"/>
    <w:rsid w:val="6F1809C5"/>
    <w:rsid w:val="6F475DC7"/>
    <w:rsid w:val="6F573B2B"/>
    <w:rsid w:val="708B2201"/>
    <w:rsid w:val="709A1682"/>
    <w:rsid w:val="70AF5EBA"/>
    <w:rsid w:val="71144A65"/>
    <w:rsid w:val="72A73123"/>
    <w:rsid w:val="72BC63B0"/>
    <w:rsid w:val="735B0715"/>
    <w:rsid w:val="74581611"/>
    <w:rsid w:val="75C51D42"/>
    <w:rsid w:val="762652EE"/>
    <w:rsid w:val="773C6883"/>
    <w:rsid w:val="78A0182B"/>
    <w:rsid w:val="79DF6FF3"/>
    <w:rsid w:val="79E41D48"/>
    <w:rsid w:val="7AC758F2"/>
    <w:rsid w:val="7B0507D3"/>
    <w:rsid w:val="7B1B6FC0"/>
    <w:rsid w:val="7B524FFC"/>
    <w:rsid w:val="7BB34CB9"/>
    <w:rsid w:val="7C873C6D"/>
    <w:rsid w:val="7CCD7A1E"/>
    <w:rsid w:val="7CE4760E"/>
    <w:rsid w:val="7D37471A"/>
    <w:rsid w:val="7DDD2456"/>
    <w:rsid w:val="7DEF0DFD"/>
    <w:rsid w:val="7E1146D4"/>
    <w:rsid w:val="7E826B96"/>
    <w:rsid w:val="7FE40CF4"/>
    <w:rsid w:val="7FFD1DB6"/>
    <w:rsid w:val="8FF730F9"/>
    <w:rsid w:val="9FBFFF99"/>
    <w:rsid w:val="BBEF2720"/>
    <w:rsid w:val="F4EB9505"/>
    <w:rsid w:val="F5BE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semiHidden="0" w:name="Table Professional"/>
    <w:lsdException w:uiPriority="99" w:name="Table Subtle 1"/>
    <w:lsdException w:uiPriority="99" w:name="Table Subtle 2"/>
    <w:lsdException w:qFormat="1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line="60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widowControl w:val="0"/>
      <w:spacing w:line="600" w:lineRule="exact"/>
      <w:jc w:val="center"/>
      <w:outlineLvl w:val="1"/>
    </w:pPr>
    <w:rPr>
      <w:rFonts w:eastAsia="黑体" w:asciiTheme="majorAscii" w:hAnsiTheme="majorAscii" w:cstheme="majorBidi"/>
      <w:bCs/>
      <w:kern w:val="2"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600" w:lineRule="exact"/>
      <w:outlineLvl w:val="2"/>
    </w:pPr>
    <w:rPr>
      <w:rFonts w:eastAsia="黑体"/>
      <w:sz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1"/>
    <w:unhideWhenUsed/>
    <w:qFormat/>
    <w:uiPriority w:val="99"/>
    <w:rPr>
      <w:rFonts w:eastAsia="宋体"/>
      <w:sz w:val="18"/>
      <w:szCs w:val="18"/>
    </w:rPr>
  </w:style>
  <w:style w:type="paragraph" w:styleId="6">
    <w:name w:val="annotation text"/>
    <w:basedOn w:val="1"/>
    <w:link w:val="36"/>
    <w:unhideWhenUsed/>
    <w:qFormat/>
    <w:uiPriority w:val="99"/>
  </w:style>
  <w:style w:type="paragraph" w:styleId="7">
    <w:name w:val="Body Text"/>
    <w:basedOn w:val="1"/>
    <w:link w:val="30"/>
    <w:qFormat/>
    <w:uiPriority w:val="1"/>
    <w:pPr>
      <w:widowControl w:val="0"/>
      <w:spacing w:line="240" w:lineRule="auto"/>
      <w:jc w:val="center"/>
    </w:pPr>
    <w:rPr>
      <w:rFonts w:cstheme="minorBidi"/>
      <w:kern w:val="2"/>
      <w:sz w:val="21"/>
    </w:rPr>
  </w:style>
  <w:style w:type="paragraph" w:styleId="8">
    <w:name w:val="toc 3"/>
    <w:basedOn w:val="1"/>
    <w:next w:val="1"/>
    <w:qFormat/>
    <w:uiPriority w:val="0"/>
    <w:pPr>
      <w:widowControl w:val="0"/>
      <w:ind w:left="840" w:leftChars="400"/>
      <w:jc w:val="both"/>
    </w:pPr>
    <w:rPr>
      <w:rFonts w:asciiTheme="minorHAnsi" w:hAnsiTheme="minorHAnsi" w:cstheme="minorBidi"/>
      <w:kern w:val="2"/>
      <w:sz w:val="21"/>
    </w:rPr>
  </w:style>
  <w:style w:type="paragraph" w:styleId="9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96"/>
      </w:tabs>
      <w:jc w:val="both"/>
    </w:pPr>
    <w:rPr>
      <w:rFonts w:eastAsia="黑体"/>
    </w:rPr>
  </w:style>
  <w:style w:type="paragraph" w:styleId="13">
    <w:name w:val="toc 2"/>
    <w:basedOn w:val="1"/>
    <w:next w:val="1"/>
    <w:unhideWhenUsed/>
    <w:qFormat/>
    <w:uiPriority w:val="39"/>
    <w:pPr>
      <w:ind w:left="200" w:leftChars="200"/>
      <w:jc w:val="both"/>
    </w:pPr>
    <w:rPr>
      <w:rFonts w:eastAsia="楷体"/>
      <w:b/>
    </w:rPr>
  </w:style>
  <w:style w:type="paragraph" w:styleId="14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annotation subject"/>
    <w:basedOn w:val="6"/>
    <w:next w:val="6"/>
    <w:link w:val="37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line="300" w:lineRule="auto"/>
        <w:ind w:firstLine="0" w:firstLineChars="0"/>
      </w:pPr>
      <w:rPr>
        <w:rFonts w:eastAsia="黑体"/>
        <w:b w:val="0"/>
        <w:i w:val="0"/>
        <w:color w:val="FFFFFF" w:themeColor="background1"/>
        <w:sz w:val="21"/>
        <w14:textFill>
          <w14:solidFill>
            <w14:schemeClr w14:val="bg1"/>
          </w14:solidFill>
        </w14:textFill>
      </w:rPr>
      <w:tcPr>
        <w:shd w:val="clear" w:color="auto" w:fill="000096"/>
        <w:vAlign w:val="center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  <w:vAlign w:val="center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vAlign w:val="center"/>
      </w:tcPr>
    </w:tblStylePr>
  </w:style>
  <w:style w:type="table" w:styleId="18">
    <w:name w:val="Table Web 1"/>
    <w:basedOn w:val="16"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Professional"/>
    <w:basedOn w:val="16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21">
    <w:name w:val="Strong"/>
    <w:basedOn w:val="20"/>
    <w:qFormat/>
    <w:uiPriority w:val="0"/>
    <w:rPr>
      <w:rFonts w:eastAsia="仿宋"/>
      <w:b/>
      <w:bCs/>
      <w:sz w:val="28"/>
    </w:rPr>
  </w:style>
  <w:style w:type="character" w:styleId="22">
    <w:name w:val="FollowedHyperlink"/>
    <w:basedOn w:val="20"/>
    <w:unhideWhenUsed/>
    <w:qFormat/>
    <w:uiPriority w:val="99"/>
    <w:rPr>
      <w:color w:val="954F72"/>
      <w:u w:val="single"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unhideWhenUsed/>
    <w:qFormat/>
    <w:uiPriority w:val="99"/>
    <w:rPr>
      <w:sz w:val="21"/>
      <w:szCs w:val="21"/>
    </w:rPr>
  </w:style>
  <w:style w:type="character" w:styleId="25">
    <w:name w:val="footnote reference"/>
    <w:basedOn w:val="20"/>
    <w:qFormat/>
    <w:uiPriority w:val="0"/>
    <w:rPr>
      <w:vertAlign w:val="superscript"/>
    </w:rPr>
  </w:style>
  <w:style w:type="table" w:customStyle="1" w:styleId="26">
    <w:name w:val="样式1"/>
    <w:basedOn w:val="16"/>
    <w:qFormat/>
    <w:uiPriority w:val="99"/>
    <w:pPr>
      <w:jc w:val="center"/>
      <w:textAlignment w:val="center"/>
    </w:p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300" w:lineRule="auto"/>
        <w:ind w:firstLine="0" w:firstLineChars="0"/>
        <w:jc w:val="center"/>
      </w:pPr>
      <w:rPr>
        <w:rFonts w:eastAsia="黑体"/>
        <w:b w:val="0"/>
        <w:i w:val="0"/>
        <w:color w:val="FFFFFF" w:themeColor="background1"/>
        <w:sz w:val="21"/>
        <w14:textFill>
          <w14:solidFill>
            <w14:schemeClr w14:val="bg1"/>
          </w14:solidFill>
        </w14:textFill>
      </w:rPr>
      <w:tcPr>
        <w:shd w:val="clear" w:color="auto" w:fill="000096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</w:tblStylePr>
  </w:style>
  <w:style w:type="table" w:customStyle="1" w:styleId="27">
    <w:name w:val="模板"/>
    <w:basedOn w:val="19"/>
    <w:qFormat/>
    <w:uiPriority w:val="99"/>
    <w:pPr>
      <w:contextualSpacing/>
      <w:jc w:val="center"/>
      <w:textAlignment w:val="center"/>
    </w:pPr>
    <w:rPr>
      <w:snapToGrid w:val="0"/>
    </w:rPr>
    <w:tblPr>
      <w:jc w:val="center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eastAsia="黑体"/>
        <w:b/>
        <w:bCs/>
        <w:color w:val="auto"/>
        <w:sz w:val="24"/>
      </w:rPr>
      <w:tcPr>
        <w:tcBorders>
          <w:tl2br w:val="nil"/>
          <w:tr2bl w:val="nil"/>
        </w:tcBorders>
        <w:shd w:val="clear" w:color="auto" w:fill="0000C8"/>
      </w:tcPr>
    </w:tblStylePr>
    <w:tblStylePr w:type="band1Horz">
      <w:tcPr>
        <w:shd w:val="clear" w:color="auto" w:fill="FFC000"/>
      </w:tcPr>
    </w:tblStylePr>
  </w:style>
  <w:style w:type="character" w:customStyle="1" w:styleId="28">
    <w:name w:val="标题 1 Char"/>
    <w:basedOn w:val="20"/>
    <w:link w:val="2"/>
    <w:qFormat/>
    <w:uiPriority w:val="0"/>
    <w:rPr>
      <w:rFonts w:ascii="宋体" w:hAnsi="宋体" w:eastAsia="黑体" w:cs="宋体"/>
      <w:bCs/>
      <w:kern w:val="44"/>
      <w:sz w:val="32"/>
      <w:szCs w:val="44"/>
    </w:rPr>
  </w:style>
  <w:style w:type="character" w:customStyle="1" w:styleId="29">
    <w:name w:val="标题 2 Char"/>
    <w:basedOn w:val="20"/>
    <w:link w:val="3"/>
    <w:qFormat/>
    <w:uiPriority w:val="0"/>
    <w:rPr>
      <w:rFonts w:eastAsia="黑体" w:asciiTheme="majorAscii" w:hAnsiTheme="majorAscii" w:cstheme="majorBidi"/>
      <w:bCs/>
      <w:kern w:val="2"/>
      <w:sz w:val="32"/>
      <w:szCs w:val="32"/>
    </w:rPr>
  </w:style>
  <w:style w:type="character" w:customStyle="1" w:styleId="30">
    <w:name w:val="正文文本 Char"/>
    <w:basedOn w:val="20"/>
    <w:link w:val="7"/>
    <w:qFormat/>
    <w:uiPriority w:val="1"/>
    <w:rPr>
      <w:rFonts w:ascii="宋体" w:hAnsi="宋体" w:eastAsiaTheme="minorEastAsia" w:cstheme="minorBidi"/>
      <w:kern w:val="2"/>
      <w:sz w:val="21"/>
      <w:szCs w:val="24"/>
    </w:rPr>
  </w:style>
  <w:style w:type="character" w:customStyle="1" w:styleId="31">
    <w:name w:val="文档结构图 Char"/>
    <w:basedOn w:val="20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32">
    <w:name w:val="页眉 Char"/>
    <w:basedOn w:val="20"/>
    <w:link w:val="11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3">
    <w:name w:val="页脚 Char"/>
    <w:basedOn w:val="20"/>
    <w:link w:val="10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4">
    <w:name w:val="标题 Char"/>
    <w:basedOn w:val="20"/>
    <w:link w:val="14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35">
    <w:name w:val="批注框文本 Char"/>
    <w:basedOn w:val="20"/>
    <w:link w:val="9"/>
    <w:semiHidden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6">
    <w:name w:val="批注文字 Char"/>
    <w:basedOn w:val="20"/>
    <w:link w:val="6"/>
    <w:semiHidden/>
    <w:qFormat/>
    <w:uiPriority w:val="99"/>
    <w:rPr>
      <w:rFonts w:ascii="宋体" w:hAnsi="宋体" w:cs="宋体" w:eastAsiaTheme="minorEastAsia"/>
      <w:sz w:val="28"/>
      <w:szCs w:val="24"/>
    </w:rPr>
  </w:style>
  <w:style w:type="character" w:customStyle="1" w:styleId="37">
    <w:name w:val="批注主题 Char"/>
    <w:basedOn w:val="36"/>
    <w:link w:val="15"/>
    <w:semiHidden/>
    <w:qFormat/>
    <w:uiPriority w:val="99"/>
    <w:rPr>
      <w:rFonts w:ascii="宋体" w:hAnsi="宋体" w:cs="宋体" w:eastAsiaTheme="minorEastAsia"/>
      <w:b/>
      <w:bCs/>
      <w:sz w:val="28"/>
      <w:szCs w:val="24"/>
    </w:rPr>
  </w:style>
  <w:style w:type="paragraph" w:customStyle="1" w:styleId="38">
    <w:name w:val="修订1"/>
    <w:hidden/>
    <w:semiHidden/>
    <w:qFormat/>
    <w:uiPriority w:val="99"/>
    <w:rPr>
      <w:rFonts w:ascii="宋体" w:hAnsi="宋体" w:cs="宋体" w:eastAsiaTheme="minorEastAsia"/>
      <w:sz w:val="28"/>
      <w:szCs w:val="24"/>
      <w:lang w:val="en-US" w:eastAsia="zh-CN" w:bidi="ar-SA"/>
    </w:rPr>
  </w:style>
  <w:style w:type="paragraph" w:customStyle="1" w:styleId="39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40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</w:rPr>
  </w:style>
  <w:style w:type="paragraph" w:customStyle="1" w:styleId="41">
    <w:name w:val="font0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42">
    <w:name w:val="font1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color w:val="000000"/>
      <w:sz w:val="22"/>
      <w:szCs w:val="22"/>
    </w:rPr>
  </w:style>
  <w:style w:type="paragraph" w:customStyle="1" w:styleId="43">
    <w:name w:val="font2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color w:val="000000"/>
      <w:sz w:val="20"/>
      <w:szCs w:val="20"/>
    </w:rPr>
  </w:style>
  <w:style w:type="paragraph" w:customStyle="1" w:styleId="44">
    <w:name w:val="et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45">
    <w:name w:val="et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46">
    <w:name w:val="et4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47">
    <w:name w:val="et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48">
    <w:name w:val="et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sz w:val="20"/>
      <w:szCs w:val="20"/>
    </w:rPr>
  </w:style>
  <w:style w:type="paragraph" w:customStyle="1" w:styleId="49">
    <w:name w:val="et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sz w:val="20"/>
      <w:szCs w:val="20"/>
    </w:rPr>
  </w:style>
  <w:style w:type="paragraph" w:customStyle="1" w:styleId="50">
    <w:name w:val="et9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51">
    <w:name w:val="et1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sz w:val="20"/>
      <w:szCs w:val="20"/>
    </w:rPr>
  </w:style>
  <w:style w:type="paragraph" w:customStyle="1" w:styleId="52">
    <w:name w:val="et1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sz w:val="20"/>
      <w:szCs w:val="20"/>
    </w:rPr>
  </w:style>
  <w:style w:type="paragraph" w:customStyle="1" w:styleId="53">
    <w:name w:val="et7"/>
    <w:basedOn w:val="1"/>
    <w:qFormat/>
    <w:uiPriority w:val="0"/>
    <w:pPr>
      <w:pBdr>
        <w:right w:val="single" w:color="000000" w:sz="4" w:space="0"/>
      </w:pBdr>
      <w:shd w:val="clear" w:color="auto" w:fill="1F4E78"/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b/>
      <w:bCs/>
      <w:color w:val="FFFFFF"/>
      <w:sz w:val="20"/>
      <w:szCs w:val="20"/>
    </w:rPr>
  </w:style>
  <w:style w:type="paragraph" w:customStyle="1" w:styleId="54">
    <w:name w:val="font3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b/>
      <w:bCs/>
      <w:color w:val="000000"/>
      <w:sz w:val="20"/>
      <w:szCs w:val="20"/>
    </w:rPr>
  </w:style>
  <w:style w:type="paragraph" w:customStyle="1" w:styleId="55">
    <w:name w:val="et1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微软雅黑" w:hAnsi="微软雅黑" w:eastAsia="微软雅黑"/>
      <w:sz w:val="20"/>
      <w:szCs w:val="20"/>
    </w:rPr>
  </w:style>
  <w:style w:type="paragraph" w:customStyle="1" w:styleId="56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2"/>
      <w:szCs w:val="22"/>
    </w:rPr>
  </w:style>
  <w:style w:type="paragraph" w:customStyle="1" w:styleId="57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b/>
      <w:bCs/>
      <w:sz w:val="22"/>
      <w:szCs w:val="22"/>
    </w:rPr>
  </w:style>
  <w:style w:type="paragraph" w:customStyle="1" w:styleId="58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color w:val="000000"/>
      <w:sz w:val="20"/>
      <w:szCs w:val="20"/>
    </w:rPr>
  </w:style>
  <w:style w:type="paragraph" w:customStyle="1" w:styleId="59">
    <w:name w:val="xl64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eastAsia="宋体"/>
    </w:rPr>
  </w:style>
  <w:style w:type="paragraph" w:customStyle="1" w:styleId="6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  <w:sz w:val="21"/>
      <w:szCs w:val="21"/>
    </w:rPr>
  </w:style>
  <w:style w:type="paragraph" w:customStyle="1" w:styleId="61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Arial" w:hAnsi="Arial" w:eastAsia="宋体" w:cs="Arial"/>
    </w:rPr>
  </w:style>
  <w:style w:type="paragraph" w:customStyle="1" w:styleId="6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宋体" w:cs="Arial"/>
      <w:sz w:val="20"/>
      <w:szCs w:val="20"/>
    </w:rPr>
  </w:style>
  <w:style w:type="paragraph" w:customStyle="1" w:styleId="63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eastAsia="宋体" w:cs="Arial"/>
      <w:b/>
      <w:bCs/>
    </w:rPr>
  </w:style>
  <w:style w:type="paragraph" w:customStyle="1" w:styleId="64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</w:rPr>
  </w:style>
  <w:style w:type="paragraph" w:customStyle="1" w:styleId="6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</w:rPr>
  </w:style>
  <w:style w:type="paragraph" w:customStyle="1" w:styleId="66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eastAsia="宋体" w:cs="Arial"/>
    </w:rPr>
  </w:style>
  <w:style w:type="paragraph" w:customStyle="1" w:styleId="67">
    <w:name w:val="font4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宋体" w:cs="Arial"/>
      <w:color w:val="000000"/>
      <w:sz w:val="22"/>
      <w:szCs w:val="22"/>
    </w:rPr>
  </w:style>
  <w:style w:type="paragraph" w:customStyle="1" w:styleId="68">
    <w:name w:val="font8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b/>
      <w:bCs/>
      <w:color w:val="000000"/>
      <w:sz w:val="22"/>
      <w:szCs w:val="22"/>
    </w:rPr>
  </w:style>
  <w:style w:type="paragraph" w:customStyle="1" w:styleId="69">
    <w:name w:val="font9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color w:val="000000"/>
      <w:sz w:val="20"/>
      <w:szCs w:val="20"/>
    </w:rPr>
  </w:style>
  <w:style w:type="character" w:customStyle="1" w:styleId="70">
    <w:name w:val="font31"/>
    <w:basedOn w:val="20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71">
    <w:name w:val="font81"/>
    <w:basedOn w:val="20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72">
    <w:name w:val="font91"/>
    <w:basedOn w:val="2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3">
    <w:name w:val="font101"/>
    <w:basedOn w:val="20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74">
    <w:name w:val="font111"/>
    <w:basedOn w:val="20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75">
    <w:name w:val="font51"/>
    <w:basedOn w:val="2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6">
    <w:name w:val="font61"/>
    <w:basedOn w:val="20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77">
    <w:name w:val="font21"/>
    <w:basedOn w:val="2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8">
    <w:name w:val="font41"/>
    <w:basedOn w:val="2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79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宋体"/>
      <w:sz w:val="22"/>
      <w:szCs w:val="22"/>
    </w:rPr>
  </w:style>
  <w:style w:type="paragraph" w:customStyle="1" w:styleId="8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eastAsia="宋体"/>
    </w:rPr>
  </w:style>
  <w:style w:type="paragraph" w:customStyle="1" w:styleId="81">
    <w:name w:val="修订2"/>
    <w:hidden/>
    <w:semiHidden/>
    <w:qFormat/>
    <w:uiPriority w:val="99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82">
    <w:name w:val="修订3"/>
    <w:hidden/>
    <w:semiHidden/>
    <w:qFormat/>
    <w:uiPriority w:val="99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83">
    <w:name w:val="修订4"/>
    <w:hidden/>
    <w:semiHidden/>
    <w:qFormat/>
    <w:uiPriority w:val="99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8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宋体"/>
      <w:sz w:val="20"/>
      <w:szCs w:val="20"/>
    </w:rPr>
  </w:style>
  <w:style w:type="paragraph" w:customStyle="1" w:styleId="85">
    <w:name w:val="修订5"/>
    <w:hidden/>
    <w:semiHidden/>
    <w:qFormat/>
    <w:uiPriority w:val="99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8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8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8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15847</Words>
  <Characters>38906</Characters>
  <Lines>299</Lines>
  <Paragraphs>84</Paragraphs>
  <TotalTime>28</TotalTime>
  <ScaleCrop>false</ScaleCrop>
  <LinksUpToDate>false</LinksUpToDate>
  <CharactersWithSpaces>47068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2022-07-11T11:09:00Z</dcterms:created>
  <dc:creator>ganzhihui</dc:creator>
  <cp:lastModifiedBy>sxrs</cp:lastModifiedBy>
  <cp:lastPrinted>2021-08-24T16:16:00Z</cp:lastPrinted>
  <dcterms:modified xsi:type="dcterms:W3CDTF">2023-10-27T11:11:48Z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E1DA0447005044A88F7DC71679221143_13</vt:lpwstr>
  </property>
</Properties>
</file>